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AC6B" w14:textId="32D5C6E8" w:rsidR="007967B8" w:rsidRDefault="007967B8" w:rsidP="00466585">
      <w:pPr>
        <w:pStyle w:val="Default"/>
        <w:ind w:firstLine="720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2123C05C" wp14:editId="73975B78">
            <wp:extent cx="1323975" cy="2942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linkCAT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98" cy="30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356C5" w14:textId="77777777" w:rsidR="007967B8" w:rsidRDefault="007967B8" w:rsidP="007967B8">
      <w:pPr>
        <w:pStyle w:val="Default"/>
        <w:rPr>
          <w:b/>
          <w:sz w:val="28"/>
        </w:rPr>
      </w:pPr>
    </w:p>
    <w:p w14:paraId="24E48B80" w14:textId="77777777" w:rsidR="007967B8" w:rsidRPr="007603B8" w:rsidRDefault="007967B8" w:rsidP="007967B8">
      <w:pPr>
        <w:pStyle w:val="Default"/>
        <w:jc w:val="center"/>
        <w:rPr>
          <w:rStyle w:val="Strong"/>
          <w:color w:val="auto"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</w:rPr>
        <w:t>EUROlinkCAT</w:t>
      </w:r>
      <w:proofErr w:type="spellEnd"/>
      <w:r>
        <w:rPr>
          <w:b/>
          <w:sz w:val="28"/>
        </w:rPr>
        <w:t xml:space="preserve"> WP5 - </w:t>
      </w:r>
      <w:r w:rsidRPr="007603B8">
        <w:rPr>
          <w:rStyle w:val="Strong"/>
          <w:color w:val="auto"/>
          <w:sz w:val="28"/>
          <w:szCs w:val="28"/>
          <w:shd w:val="clear" w:color="auto" w:fill="FFFFFF"/>
        </w:rPr>
        <w:t>Educational achievements and needs of children with congenital anomalies</w:t>
      </w:r>
    </w:p>
    <w:p w14:paraId="6EC86F5C" w14:textId="77777777" w:rsidR="007967B8" w:rsidRPr="007603B8" w:rsidRDefault="007967B8" w:rsidP="007967B8">
      <w:pPr>
        <w:pStyle w:val="Default"/>
        <w:jc w:val="center"/>
        <w:rPr>
          <w:b/>
          <w:color w:val="auto"/>
          <w:szCs w:val="18"/>
        </w:rPr>
      </w:pPr>
    </w:p>
    <w:p w14:paraId="673779F5" w14:textId="7938339E" w:rsidR="00195256" w:rsidRDefault="00195256" w:rsidP="00195256">
      <w:pPr>
        <w:pStyle w:val="Default"/>
        <w:jc w:val="center"/>
        <w:rPr>
          <w:b/>
          <w:sz w:val="28"/>
          <w:szCs w:val="20"/>
        </w:rPr>
      </w:pPr>
      <w:r w:rsidRPr="00AC151F">
        <w:rPr>
          <w:b/>
          <w:sz w:val="28"/>
          <w:szCs w:val="20"/>
        </w:rPr>
        <w:t>Statistical analysis</w:t>
      </w:r>
      <w:r>
        <w:rPr>
          <w:b/>
          <w:sz w:val="28"/>
          <w:szCs w:val="20"/>
        </w:rPr>
        <w:t xml:space="preserve"> plan for the contributing BINOCAR registries (</w:t>
      </w:r>
      <w:r w:rsidRPr="001E194E">
        <w:rPr>
          <w:b/>
          <w:bCs/>
          <w:color w:val="000000" w:themeColor="text1"/>
          <w:sz w:val="28"/>
          <w:szCs w:val="28"/>
          <w:shd w:val="clear" w:color="auto" w:fill="FFFFFF"/>
        </w:rPr>
        <w:t>EMSYCAR, CAROBB</w:t>
      </w:r>
      <w:r w:rsidR="00026B22">
        <w:rPr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Pr="001E194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W</w:t>
      </w:r>
      <w:r w:rsidR="00E04C8A">
        <w:rPr>
          <w:b/>
          <w:bCs/>
          <w:color w:val="000000" w:themeColor="text1"/>
          <w:sz w:val="28"/>
          <w:szCs w:val="28"/>
          <w:shd w:val="clear" w:color="auto" w:fill="FFFFFF"/>
        </w:rPr>
        <w:t>ANDA</w:t>
      </w:r>
      <w:r w:rsidR="00026B22" w:rsidRPr="001E194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6B2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and </w:t>
      </w:r>
      <w:proofErr w:type="spellStart"/>
      <w:r w:rsidR="00026B22">
        <w:rPr>
          <w:b/>
          <w:bCs/>
          <w:color w:val="000000" w:themeColor="text1"/>
          <w:sz w:val="28"/>
          <w:szCs w:val="28"/>
          <w:shd w:val="clear" w:color="auto" w:fill="FFFFFF"/>
        </w:rPr>
        <w:t>NorCAS</w:t>
      </w:r>
      <w:proofErr w:type="spellEnd"/>
      <w:r w:rsidR="00026B22">
        <w:rPr>
          <w:b/>
          <w:bCs/>
          <w:color w:val="000000" w:themeColor="text1"/>
          <w:sz w:val="28"/>
          <w:szCs w:val="28"/>
          <w:shd w:val="clear" w:color="auto" w:fill="FFFFFF"/>
        </w:rPr>
        <w:t>)</w:t>
      </w:r>
      <w:r>
        <w:rPr>
          <w:b/>
          <w:sz w:val="28"/>
          <w:szCs w:val="20"/>
        </w:rPr>
        <w:t xml:space="preserve"> and for the Wales registr</w:t>
      </w:r>
      <w:r w:rsidR="00AE4A0D">
        <w:rPr>
          <w:b/>
          <w:sz w:val="28"/>
          <w:szCs w:val="20"/>
        </w:rPr>
        <w:t>y</w:t>
      </w:r>
      <w:r>
        <w:rPr>
          <w:b/>
          <w:sz w:val="28"/>
          <w:szCs w:val="20"/>
        </w:rPr>
        <w:t xml:space="preserve"> </w:t>
      </w:r>
    </w:p>
    <w:p w14:paraId="3216AE52" w14:textId="77777777" w:rsidR="007967B8" w:rsidRPr="00AC151F" w:rsidRDefault="007967B8" w:rsidP="007967B8">
      <w:pPr>
        <w:pStyle w:val="Default"/>
        <w:rPr>
          <w:b/>
          <w:sz w:val="28"/>
          <w:szCs w:val="20"/>
        </w:rPr>
      </w:pPr>
    </w:p>
    <w:p w14:paraId="0A19C7AA" w14:textId="77777777" w:rsidR="003432F3" w:rsidRPr="00B87EF1" w:rsidRDefault="003432F3" w:rsidP="003432F3">
      <w:pPr>
        <w:spacing w:after="0" w:line="240" w:lineRule="auto"/>
        <w:rPr>
          <w:sz w:val="24"/>
          <w:szCs w:val="24"/>
        </w:rPr>
      </w:pPr>
      <w:r w:rsidRPr="00B87EF1">
        <w:rPr>
          <w:b/>
          <w:sz w:val="24"/>
          <w:szCs w:val="24"/>
        </w:rPr>
        <w:t>WP</w:t>
      </w:r>
      <w:r>
        <w:rPr>
          <w:b/>
          <w:sz w:val="24"/>
          <w:szCs w:val="24"/>
        </w:rPr>
        <w:t>5</w:t>
      </w:r>
      <w:r w:rsidRPr="00B87EF1">
        <w:rPr>
          <w:b/>
          <w:sz w:val="24"/>
          <w:szCs w:val="24"/>
        </w:rPr>
        <w:t xml:space="preserve"> leads: </w:t>
      </w:r>
      <w:r w:rsidRPr="00B87EF1">
        <w:rPr>
          <w:sz w:val="24"/>
          <w:szCs w:val="24"/>
        </w:rPr>
        <w:t>Judith Rankin (UNEW), Amanda Neville (UNIFE)</w:t>
      </w:r>
    </w:p>
    <w:p w14:paraId="1A0D7A2F" w14:textId="77777777" w:rsidR="003432F3" w:rsidRDefault="003432F3" w:rsidP="003432F3">
      <w:pPr>
        <w:spacing w:after="0" w:line="240" w:lineRule="auto"/>
        <w:rPr>
          <w:sz w:val="24"/>
          <w:szCs w:val="24"/>
          <w:lang w:val="it-IT"/>
        </w:rPr>
      </w:pPr>
      <w:r w:rsidRPr="00B87EF1">
        <w:rPr>
          <w:b/>
          <w:sz w:val="24"/>
          <w:szCs w:val="24"/>
          <w:lang w:val="it-IT"/>
        </w:rPr>
        <w:t>Researchers:</w:t>
      </w:r>
      <w:r w:rsidRPr="00B87EF1">
        <w:rPr>
          <w:sz w:val="24"/>
          <w:szCs w:val="24"/>
          <w:lang w:val="it-IT"/>
        </w:rPr>
        <w:t xml:space="preserve"> Svetlana Glinianaia (UNEW)</w:t>
      </w:r>
    </w:p>
    <w:p w14:paraId="1215241C" w14:textId="44A938E2" w:rsidR="003432F3" w:rsidRPr="0020610B" w:rsidRDefault="003432F3" w:rsidP="003432F3">
      <w:pPr>
        <w:spacing w:after="0" w:line="240" w:lineRule="auto"/>
        <w:rPr>
          <w:sz w:val="24"/>
          <w:szCs w:val="24"/>
          <w:lang w:val="it-IT"/>
        </w:rPr>
      </w:pPr>
      <w:r w:rsidRPr="0020610B">
        <w:rPr>
          <w:b/>
          <w:bCs/>
          <w:sz w:val="24"/>
          <w:szCs w:val="24"/>
          <w:lang w:val="it-IT"/>
        </w:rPr>
        <w:t xml:space="preserve">Wales registry team: </w:t>
      </w:r>
      <w:r w:rsidRPr="0020610B">
        <w:rPr>
          <w:sz w:val="24"/>
          <w:szCs w:val="24"/>
          <w:lang w:val="it-IT"/>
        </w:rPr>
        <w:t>Anna Rawlings. Sue Jordan</w:t>
      </w:r>
      <w:r>
        <w:rPr>
          <w:sz w:val="24"/>
          <w:szCs w:val="24"/>
          <w:lang w:val="it-IT"/>
        </w:rPr>
        <w:t xml:space="preserve">, Daniel Thayer </w:t>
      </w:r>
      <w:bookmarkStart w:id="0" w:name="_Hlk73031616"/>
      <w:r w:rsidR="00AE4A0D">
        <w:rPr>
          <w:sz w:val="24"/>
          <w:szCs w:val="24"/>
          <w:lang w:val="it-IT"/>
        </w:rPr>
        <w:t>(PHW, SU)</w:t>
      </w:r>
      <w:bookmarkEnd w:id="0"/>
    </w:p>
    <w:p w14:paraId="50170124" w14:textId="77777777" w:rsidR="003432F3" w:rsidRPr="00B87EF1" w:rsidRDefault="003432F3" w:rsidP="003432F3">
      <w:pPr>
        <w:rPr>
          <w:sz w:val="24"/>
          <w:szCs w:val="24"/>
          <w:lang w:val="it-IT"/>
        </w:rPr>
      </w:pPr>
      <w:r w:rsidRPr="00A56097">
        <w:rPr>
          <w:b/>
          <w:bCs/>
          <w:sz w:val="24"/>
          <w:szCs w:val="24"/>
          <w:lang w:val="it-IT"/>
        </w:rPr>
        <w:t>Statistical advice</w:t>
      </w:r>
      <w:r>
        <w:rPr>
          <w:sz w:val="24"/>
          <w:szCs w:val="24"/>
          <w:lang w:val="it-IT"/>
        </w:rPr>
        <w:t xml:space="preserve">: Joan Morris, Joachim Tan (SGUL) </w:t>
      </w:r>
    </w:p>
    <w:p w14:paraId="1D939A0C" w14:textId="77777777" w:rsidR="003432F3" w:rsidRDefault="003432F3" w:rsidP="003432F3">
      <w:pPr>
        <w:spacing w:after="0" w:line="240" w:lineRule="auto"/>
        <w:rPr>
          <w:sz w:val="24"/>
          <w:szCs w:val="24"/>
        </w:rPr>
      </w:pPr>
      <w:r w:rsidRPr="00B87EF1">
        <w:rPr>
          <w:b/>
          <w:sz w:val="24"/>
          <w:szCs w:val="24"/>
        </w:rPr>
        <w:t>The aim</w:t>
      </w:r>
      <w:r w:rsidRPr="00B87EF1">
        <w:rPr>
          <w:sz w:val="24"/>
          <w:szCs w:val="24"/>
        </w:rPr>
        <w:t xml:space="preserve"> of this analysis plan is to guide the registries in their local analyses and to detail the methods of analysis to be applied to all outcomes in WP5</w:t>
      </w:r>
      <w:r>
        <w:rPr>
          <w:sz w:val="24"/>
          <w:szCs w:val="24"/>
        </w:rPr>
        <w:t>.</w:t>
      </w:r>
      <w:r w:rsidRPr="00B87EF1">
        <w:rPr>
          <w:sz w:val="24"/>
          <w:szCs w:val="24"/>
        </w:rPr>
        <w:t xml:space="preserve"> </w:t>
      </w:r>
    </w:p>
    <w:p w14:paraId="42897B47" w14:textId="77777777" w:rsidR="003432F3" w:rsidRPr="00B87EF1" w:rsidRDefault="003432F3" w:rsidP="003432F3">
      <w:pPr>
        <w:spacing w:after="0" w:line="240" w:lineRule="auto"/>
        <w:rPr>
          <w:sz w:val="24"/>
          <w:szCs w:val="24"/>
        </w:rPr>
      </w:pPr>
    </w:p>
    <w:p w14:paraId="2F4B201F" w14:textId="125ECE6F" w:rsidR="003432F3" w:rsidRDefault="003432F3" w:rsidP="003432F3">
      <w:pPr>
        <w:rPr>
          <w:sz w:val="24"/>
          <w:szCs w:val="24"/>
        </w:rPr>
      </w:pPr>
      <w:r>
        <w:rPr>
          <w:sz w:val="24"/>
          <w:szCs w:val="24"/>
        </w:rPr>
        <w:t xml:space="preserve">UNEW will summarise the analytic results from the three BINOCAR registries (analysed collectively), Wales registry and Finland registry (for 16-year-olds only) into coherent summary tables, write the WP5 deliverable report (D5.1) and a paper for publication on the educational outcomes (on Key stage (KS) 2 and KS4 results in 11-year-old and 16-year-old children respectively using BINOCAR and Wales data) and special education needs (SEN) in children with selected congenital anomalies (CAs) compared </w:t>
      </w:r>
      <w:r w:rsidR="00895A12">
        <w:rPr>
          <w:sz w:val="24"/>
          <w:szCs w:val="24"/>
        </w:rPr>
        <w:t>with</w:t>
      </w:r>
      <w:r>
        <w:rPr>
          <w:sz w:val="24"/>
          <w:szCs w:val="24"/>
        </w:rPr>
        <w:t xml:space="preserve"> the reference group.</w:t>
      </w:r>
    </w:p>
    <w:p w14:paraId="701C0A1E" w14:textId="06DA99A8" w:rsidR="003432F3" w:rsidRPr="00951077" w:rsidRDefault="003432F3" w:rsidP="003432F3">
      <w:pPr>
        <w:rPr>
          <w:sz w:val="24"/>
          <w:szCs w:val="24"/>
        </w:rPr>
      </w:pPr>
      <w:r>
        <w:rPr>
          <w:sz w:val="24"/>
          <w:szCs w:val="24"/>
        </w:rPr>
        <w:t>In WP5, each contributing registry is responsible for writing their scripts and running the</w:t>
      </w:r>
      <w:r w:rsidR="008D3742">
        <w:rPr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 w:rsidRPr="00951077">
        <w:rPr>
          <w:sz w:val="24"/>
          <w:szCs w:val="24"/>
        </w:rPr>
        <w:t>analysis.</w:t>
      </w:r>
    </w:p>
    <w:p w14:paraId="7EBD1E53" w14:textId="77777777" w:rsidR="003432F3" w:rsidRPr="00951077" w:rsidRDefault="003432F3" w:rsidP="003432F3">
      <w:pPr>
        <w:rPr>
          <w:sz w:val="24"/>
          <w:szCs w:val="24"/>
        </w:rPr>
      </w:pPr>
      <w:r>
        <w:rPr>
          <w:sz w:val="24"/>
          <w:szCs w:val="24"/>
        </w:rPr>
        <w:t>The team a</w:t>
      </w:r>
      <w:r w:rsidRPr="00951077">
        <w:rPr>
          <w:sz w:val="24"/>
          <w:szCs w:val="24"/>
        </w:rPr>
        <w:t>greed that the Wales registry team (AR and DT</w:t>
      </w:r>
      <w:r>
        <w:rPr>
          <w:sz w:val="24"/>
          <w:szCs w:val="24"/>
        </w:rPr>
        <w:t>)</w:t>
      </w:r>
      <w:r w:rsidRPr="00951077">
        <w:rPr>
          <w:sz w:val="24"/>
          <w:szCs w:val="24"/>
        </w:rPr>
        <w:t xml:space="preserve"> will write the analysis scripts in R for Wales. These will include descriptive data, unadjusted and adjusted inferential analyses. The adjusted analyses will be binary logistic regression with pre-specified covariates.</w:t>
      </w:r>
    </w:p>
    <w:p w14:paraId="3841590E" w14:textId="77777777" w:rsidR="003432F3" w:rsidRPr="00BF0FDD" w:rsidRDefault="003432F3" w:rsidP="003432F3">
      <w:pPr>
        <w:rPr>
          <w:b/>
          <w:bCs/>
          <w:sz w:val="24"/>
          <w:szCs w:val="24"/>
        </w:rPr>
      </w:pPr>
      <w:r w:rsidRPr="00BF0FDD">
        <w:rPr>
          <w:b/>
          <w:bCs/>
          <w:sz w:val="24"/>
          <w:szCs w:val="24"/>
        </w:rPr>
        <w:t>Inclusion / Exclusion Criteria</w:t>
      </w:r>
    </w:p>
    <w:p w14:paraId="3E022E26" w14:textId="4E3B3182" w:rsidR="003432F3" w:rsidRDefault="003432F3" w:rsidP="003432F3">
      <w:pP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For Wales, a</w:t>
      </w:r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ll live births (</w:t>
      </w:r>
      <w:proofErr w:type="gramStart"/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i.e.</w:t>
      </w:r>
      <w:proofErr w:type="gramEnd"/>
      <w:r w:rsidRPr="007B72EE">
        <w:rPr>
          <w:sz w:val="24"/>
          <w:szCs w:val="24"/>
        </w:rPr>
        <w:t xml:space="preserve"> singletons and multiples) </w:t>
      </w:r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reported in the national congenital anomaly registry (CARIS) from 1998 to 2014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 and still alive by their 12</w:t>
      </w:r>
      <w:r w:rsidRPr="0067112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 17</w:t>
      </w:r>
      <w:r w:rsidRPr="0067112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D3742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b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irthdays,</w:t>
      </w:r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will be included in the study and </w:t>
      </w:r>
      <w:bookmarkStart w:id="1" w:name="_Hlk66181154"/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will be linked to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education </w:t>
      </w:r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data in </w:t>
      </w:r>
      <w:r w:rsidRPr="008773C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bookmarkStart w:id="2" w:name="_Hlk68085305"/>
      <w:r w:rsidRPr="008773C0">
        <w:rPr>
          <w:rFonts w:cstheme="minorHAnsi"/>
          <w:sz w:val="24"/>
          <w:szCs w:val="24"/>
          <w:shd w:val="clear" w:color="auto" w:fill="FFFFFF"/>
        </w:rPr>
        <w:t xml:space="preserve">Secure Anonymised Information Linkage </w:t>
      </w:r>
      <w:bookmarkEnd w:id="2"/>
      <w:r w:rsidRPr="008773C0">
        <w:rPr>
          <w:rFonts w:cstheme="minorHAnsi"/>
          <w:sz w:val="24"/>
          <w:szCs w:val="24"/>
          <w:shd w:val="clear" w:color="auto" w:fill="FFFFFF"/>
        </w:rPr>
        <w:t>(</w:t>
      </w:r>
      <w:r w:rsidRPr="008773C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SAIL) </w:t>
      </w:r>
      <w:bookmarkEnd w:id="1"/>
      <w:r w:rsidRPr="008773C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databank, where possible. The reference</w:t>
      </w:r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population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identified before the linkage </w:t>
      </w:r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is all live born children without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CAs</w:t>
      </w:r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(without EUROCAT codes for a major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CA</w:t>
      </w:r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) born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during the same </w:t>
      </w:r>
      <w:proofErr w:type="gramStart"/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time period</w:t>
      </w:r>
      <w:proofErr w:type="gramEnd"/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as the cases and in the same geographical area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covered by CARIS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95A12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linkable to SAIL education data,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still alive by their 12</w:t>
      </w:r>
      <w:r w:rsidRPr="006F5182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 17</w:t>
      </w:r>
      <w:r w:rsidRPr="006F5182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birthdays</w:t>
      </w:r>
      <w:r w:rsidRPr="007B72E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4B14D41" w14:textId="5E62D25D" w:rsidR="003432F3" w:rsidRPr="008D3742" w:rsidRDefault="003432F3" w:rsidP="003432F3">
      <w:pP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3742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For the BINOCAR registries, live born children with a major </w:t>
      </w:r>
      <w:r w:rsidR="008D3742" w:rsidRPr="008D3742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CA</w:t>
      </w:r>
      <w:r w:rsidRPr="008D3742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registered in the three registries (</w:t>
      </w:r>
      <w:r w:rsidRPr="007B0A0E">
        <w:rPr>
          <w:rFonts w:cs="Times New Roman"/>
          <w:sz w:val="24"/>
          <w:szCs w:val="24"/>
        </w:rPr>
        <w:t>Thames Valley</w:t>
      </w:r>
      <w:r w:rsidRPr="008D3742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7B0A0E">
        <w:rPr>
          <w:rFonts w:cs="Times New Roman"/>
          <w:sz w:val="24"/>
          <w:szCs w:val="24"/>
        </w:rPr>
        <w:t>Wessex</w:t>
      </w:r>
      <w:proofErr w:type="gramEnd"/>
      <w:r w:rsidRPr="008D3742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r w:rsidRPr="007B0A0E">
        <w:rPr>
          <w:rFonts w:cs="Times New Roman"/>
          <w:sz w:val="24"/>
          <w:szCs w:val="24"/>
        </w:rPr>
        <w:t xml:space="preserve">East Midlands) and known to be </w:t>
      </w:r>
      <w:r w:rsidRPr="008D3742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alive at age 11 (for KS2) and 16 years (for KS</w:t>
      </w:r>
      <w:r w:rsidR="00331DD7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8D3742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(cases) will be linked to the English National Pupil Database (NPD) education data. Referents will be </w:t>
      </w:r>
      <w:r w:rsidRPr="007B0A0E">
        <w:rPr>
          <w:sz w:val="24"/>
          <w:szCs w:val="24"/>
        </w:rPr>
        <w:t xml:space="preserve">a random sample from the background population who are not </w:t>
      </w:r>
      <w:r w:rsidR="007B0A0E">
        <w:rPr>
          <w:sz w:val="24"/>
          <w:szCs w:val="24"/>
        </w:rPr>
        <w:t xml:space="preserve">CA </w:t>
      </w:r>
      <w:r w:rsidRPr="007B0A0E">
        <w:rPr>
          <w:sz w:val="24"/>
          <w:szCs w:val="24"/>
        </w:rPr>
        <w:t>cases that are recorded in the NPD.</w:t>
      </w:r>
    </w:p>
    <w:p w14:paraId="5AC25362" w14:textId="77777777" w:rsidR="008D3742" w:rsidRDefault="008D3742" w:rsidP="003432F3">
      <w:pPr>
        <w:rPr>
          <w:b/>
          <w:bCs/>
          <w:sz w:val="24"/>
          <w:szCs w:val="24"/>
        </w:rPr>
      </w:pPr>
    </w:p>
    <w:p w14:paraId="50EDB491" w14:textId="539A1FC9" w:rsidR="003432F3" w:rsidRPr="00BF0FDD" w:rsidRDefault="003432F3" w:rsidP="003432F3">
      <w:pPr>
        <w:rPr>
          <w:b/>
          <w:bCs/>
          <w:sz w:val="24"/>
          <w:szCs w:val="24"/>
        </w:rPr>
      </w:pPr>
      <w:r w:rsidRPr="00BF0FDD">
        <w:rPr>
          <w:b/>
          <w:bCs/>
          <w:sz w:val="24"/>
          <w:szCs w:val="24"/>
        </w:rPr>
        <w:t>Categorisation of Congenital Anomalies</w:t>
      </w:r>
    </w:p>
    <w:p w14:paraId="4A35058D" w14:textId="3608DA47" w:rsidR="003432F3" w:rsidRDefault="003432F3" w:rsidP="003432F3">
      <w:pPr>
        <w:rPr>
          <w:sz w:val="24"/>
          <w:szCs w:val="24"/>
        </w:rPr>
      </w:pPr>
      <w:r>
        <w:rPr>
          <w:sz w:val="24"/>
          <w:szCs w:val="24"/>
        </w:rPr>
        <w:t>Children with CAs from 20 subgroups of structural CAs</w:t>
      </w:r>
      <w:r w:rsidR="008D3742">
        <w:rPr>
          <w:sz w:val="24"/>
          <w:szCs w:val="24"/>
        </w:rPr>
        <w:t>,</w:t>
      </w:r>
      <w:r>
        <w:rPr>
          <w:sz w:val="24"/>
          <w:szCs w:val="24"/>
        </w:rPr>
        <w:t xml:space="preserve"> and from four subgroups of chromosomal anomalies</w:t>
      </w:r>
      <w:r w:rsidR="008D3742">
        <w:rPr>
          <w:sz w:val="24"/>
          <w:szCs w:val="24"/>
        </w:rPr>
        <w:t>,</w:t>
      </w:r>
      <w:r>
        <w:rPr>
          <w:sz w:val="24"/>
          <w:szCs w:val="24"/>
        </w:rPr>
        <w:t xml:space="preserve"> will be included in the analyses.</w:t>
      </w:r>
    </w:p>
    <w:p w14:paraId="6F22DB1F" w14:textId="744BE995" w:rsidR="003432F3" w:rsidRDefault="003432F3" w:rsidP="003432F3">
      <w:pPr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sz w:val="24"/>
          <w:szCs w:val="24"/>
        </w:rPr>
        <w:t>F</w:t>
      </w:r>
      <w:r w:rsidRPr="000D6F80">
        <w:rPr>
          <w:sz w:val="24"/>
          <w:szCs w:val="24"/>
        </w:rPr>
        <w:t xml:space="preserve">or structural anomalies, </w:t>
      </w:r>
      <w:r>
        <w:rPr>
          <w:sz w:val="24"/>
          <w:szCs w:val="24"/>
        </w:rPr>
        <w:t>only those defined as</w:t>
      </w:r>
      <w:r w:rsidRPr="000D6F80">
        <w:rPr>
          <w:sz w:val="24"/>
          <w:szCs w:val="24"/>
        </w:rPr>
        <w:t xml:space="preserve"> an isolated anomaly </w:t>
      </w:r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>(coded as N, A, R and I in '</w:t>
      </w:r>
      <w:proofErr w:type="spellStart"/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>mult_malf</w:t>
      </w:r>
      <w:proofErr w:type="spellEnd"/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' EDMP derived variable: N: NTD isolated; A: isolated cardiac; R: isolated renal; I: isolated other)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(see chapter 3.4 of the </w:t>
      </w:r>
      <w:r w:rsidRPr="00A14ABC">
        <w:rPr>
          <w:rFonts w:ascii="Calibri" w:hAnsi="Calibri" w:cs="Calibri"/>
          <w:color w:val="000000" w:themeColor="text1"/>
          <w:bdr w:val="none" w:sz="0" w:space="0" w:color="auto" w:frame="1"/>
        </w:rPr>
        <w:t>EUROCAT Guide 1.4</w:t>
      </w:r>
      <w:r>
        <w:rPr>
          <w:rFonts w:ascii="Calibri" w:hAnsi="Calibri" w:cs="Calibri"/>
          <w:sz w:val="24"/>
          <w:szCs w:val="24"/>
          <w:bdr w:val="none" w:sz="0" w:space="0" w:color="auto" w:frame="1"/>
        </w:rPr>
        <w:fldChar w:fldCharType="begin"/>
      </w:r>
      <w:r>
        <w:rPr>
          <w:rFonts w:ascii="Calibri" w:hAnsi="Calibri" w:cs="Calibri"/>
          <w:sz w:val="24"/>
          <w:szCs w:val="24"/>
          <w:bdr w:val="none" w:sz="0" w:space="0" w:color="auto" w:frame="1"/>
        </w:rPr>
        <w:instrText xml:space="preserve"> ADDIN EN.CITE &lt;EndNote&gt;&lt;Cite&gt;&lt;Author&gt;EUROCAT&lt;/Author&gt;&lt;Year&gt;2013&lt;/Year&gt;&lt;RecNum&gt;29&lt;/RecNum&gt;&lt;DisplayText&gt;&lt;style face="superscript"&gt;1&lt;/style&gt;&lt;/DisplayText&gt;&lt;record&gt;&lt;rec-number&gt;29&lt;/rec-number&gt;&lt;foreign-keys&gt;&lt;key app="EN" db-id="pp90f0a5e9fvsleaxpdvdte0x0pp0atfxsdw" timestamp="1618331182"&gt;29&lt;/key&gt;&lt;/foreign-keys&gt;&lt;ref-type name="Book Section"&gt;5&lt;/ref-type&gt;&lt;contributors&gt;&lt;authors&gt;&lt;author&gt;EUROCAT,&lt;/author&gt;&lt;/authors&gt;&lt;/contributors&gt;&lt;titles&gt;&lt;title&gt;Chapter 3.4: Multiple Congenital Anomaly Algorithm (version 19.11.2014)&lt;/title&gt;&lt;secondary-title&gt;EUROCAT Guide 1.4: Instruction for the registration of congenital anomalies (Last update version 20/12/2016)&lt;/secondary-title&gt;&lt;tertiary-title&gt;Last update version 20/12/2016&lt;/tertiary-title&gt;&lt;/titles&gt;&lt;dates&gt;&lt;year&gt;2013&lt;/year&gt;&lt;/dates&gt;&lt;pub-location&gt;Newtownabbey, UK&lt;/pub-location&gt;&lt;publisher&gt;EUROCAT Central Registry, University of Ulster&lt;/publisher&gt;&lt;urls&gt;&lt;related-urls&gt;&lt;url&gt;https://eu-rd-platform.jrc.ec.europa.eu/sites/default/files/Section%203.3-%2027_Oct2016.pdf&lt;/url&gt;&lt;/related-urls&gt;&lt;/urls&gt;&lt;/record&gt;&lt;/Cite&gt;&lt;/EndNote&gt;</w:instrText>
      </w:r>
      <w:r>
        <w:rPr>
          <w:rFonts w:ascii="Calibri" w:hAnsi="Calibri" w:cs="Calibri"/>
          <w:sz w:val="24"/>
          <w:szCs w:val="24"/>
          <w:bdr w:val="none" w:sz="0" w:space="0" w:color="auto" w:frame="1"/>
        </w:rPr>
        <w:fldChar w:fldCharType="separate"/>
      </w:r>
      <w:r w:rsidRPr="00195665">
        <w:rPr>
          <w:rFonts w:ascii="Calibri" w:hAnsi="Calibri" w:cs="Calibri"/>
          <w:noProof/>
          <w:sz w:val="24"/>
          <w:szCs w:val="24"/>
          <w:bdr w:val="none" w:sz="0" w:space="0" w:color="auto" w:frame="1"/>
          <w:vertAlign w:val="superscript"/>
        </w:rPr>
        <w:t>1</w:t>
      </w:r>
      <w:r>
        <w:rPr>
          <w:rFonts w:ascii="Calibri" w:hAnsi="Calibri" w:cs="Calibri"/>
          <w:sz w:val="24"/>
          <w:szCs w:val="24"/>
          <w:bdr w:val="none" w:sz="0" w:space="0" w:color="auto" w:frame="1"/>
        </w:rPr>
        <w:fldChar w:fldCharType="end"/>
      </w:r>
      <w:r w:rsidRPr="009502F3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Garne</w:t>
      </w:r>
      <w:proofErr w:type="spellEnd"/>
      <w:r>
        <w:rPr>
          <w:sz w:val="24"/>
          <w:szCs w:val="24"/>
        </w:rPr>
        <w:t xml:space="preserve"> et al, 2011</w:t>
      </w:r>
      <w:r>
        <w:rPr>
          <w:sz w:val="24"/>
          <w:szCs w:val="24"/>
        </w:rPr>
        <w:fldChar w:fldCharType="begin">
          <w:fldData xml:space="preserve">PEVuZE5vdGU+PENpdGU+PEF1dGhvcj5HYXJuZTwvQXV0aG9yPjxZZWFyPjIwMTE8L1llYXI+PFJl
Y051bT4xOTwvUmVjTnVtPjxEaXNwbGF5VGV4dD48c3R5bGUgZmFjZT0ic3VwZXJzY3JpcHQiPjI8
L3N0eWxlPjwvRGlzcGxheVRleHQ+PHJlY29yZD48cmVjLW51bWJlcj4xOTwvcmVjLW51bWJlcj48
Zm9yZWlnbi1rZXlzPjxrZXkgYXBwPSJFTiIgZGItaWQ9InBwOTBmMGE1ZTlmdnNsZWF4cGR2ZHRl
MHgwcHAwYXRmeHNkdyIgdGltZXN0YW1wPSIxNjE3MjA2NzM0Ij4xOTwva2V5PjwvZm9yZWlnbi1r
ZXlzPjxyZWYtdHlwZSBuYW1lPSJKb3VybmFsIEFydGljbGUiPjE3PC9yZWYtdHlwZT48Y29udHJp
YnV0b3JzPjxhdXRob3JzPjxhdXRob3I+R2FybmUsIEUuPC9hdXRob3I+PGF1dGhvcj5Eb2xrLCBI
LjwvYXV0aG9yPjxhdXRob3I+TG9hbmUsIE0uPC9hdXRob3I+PGF1dGhvcj5XZWxsZXNsZXksIEQu
PC9hdXRob3I+PGF1dGhvcj5CYXJpc2ljLCBJLjwvYXV0aG9yPjxhdXRob3I+Q2Fsem9sYXJpLCBF
LjwvYXV0aG9yPjxhdXRob3I+RGVuc2VtLCBKLjwvYXV0aG9yPjxhdXRob3I+RXVyb2NhdCBXb3Jr
aW5nIEdyb3VwPC9hdXRob3I+PC9hdXRob3JzPjwvY29udHJpYnV0b3JzPjxhdXRoLWFkZHJlc3M+
UGFlZGlhdHJpYyBEZXBhcnRtZW50LCBIb3NwaXRhbCBMaWxsZWJhZWx0LCBLb2xkaW5nLCBEZW5t
YXJrLiBlc3Rlci5nYXJuZUBzbGIucmVnaW9uc3lkZGFubWFyay5kazwvYXV0aC1hZGRyZXNzPjx0
aXRsZXM+PHRpdGxlPlBhcGVyIDU6IFN1cnZlaWxsYW5jZSBvZiBtdWx0aXBsZSBjb25nZW5pdGFs
IGFub21hbGllczogaW1wbGVtZW50YXRpb24gb2YgYSBjb21wdXRlciBhbGdvcml0aG0gaW4gRXVy
b3BlYW4gcmVnaXN0ZXJzIGZvciBjbGFzc2lmaWNhdGlvbiBvZiBjYXNlczwvdGl0bGU+PHNlY29u
ZGFyeS10aXRsZT5CaXJ0aCBEZWZlY3RzIFJlcyBBIENsaW4gTW9sIFRlcmF0b2w8L3NlY29uZGFy
eS10aXRsZT48YWx0LXRpdGxlPkJpcnRoIGRlZmVjdHMgcmVzZWFyY2guIFBhcnQgQSwgQ2xpbmlj
YWwgYW5kIG1vbGVjdWxhciB0ZXJhdG9sb2d5PC9hbHQtdGl0bGU+PC90aXRsZXM+PHBlcmlvZGlj
YWw+PGZ1bGwtdGl0bGU+QmlydGggRGVmZWN0cyBSZXMgQSBDbGluIE1vbCBUZXJhdG9sPC9mdWxs
LXRpdGxlPjxhYmJyLTE+QmlydGggZGVmZWN0cyByZXNlYXJjaC4gUGFydCBBLCBDbGluaWNhbCBh
bmQgbW9sZWN1bGFyIHRlcmF0b2xvZ3k8L2FiYnItMT48L3BlcmlvZGljYWw+PGFsdC1wZXJpb2Rp
Y2FsPjxmdWxsLXRpdGxlPkJpcnRoIERlZmVjdHMgUmVzIEEgQ2xpbiBNb2wgVGVyYXRvbDwvZnVs
bC10aXRsZT48YWJici0xPkJpcnRoIGRlZmVjdHMgcmVzZWFyY2guIFBhcnQgQSwgQ2xpbmljYWwg
YW5kIG1vbGVjdWxhciB0ZXJhdG9sb2d5PC9hYmJyLTE+PC9hbHQtcGVyaW9kaWNhbD48cGFnZXM+
UzQ0LTUwPC9wYWdlcz48dm9sdW1lPjkxIFN1cHBsIDE8L3ZvbHVtZT48a2V5d29yZHM+PGtleXdv
cmQ+QWJub3JtYWxpdGllcywgTXVsdGlwbGUvKmNsYXNzaWZpY2F0aW9uL2VwaWRlbWlvbG9neTwv
a2V5d29yZD48a2V5d29yZD5BbGdvcml0aG1zPC9rZXl3b3JkPjxrZXl3b3JkPkZlbWFsZTwva2V5
d29yZD48a2V5d29yZD5IdW1hbnM8L2tleXdvcmQ+PGtleXdvcmQ+KlBvcHVsYXRpb24gU3VydmVp
bGxhbmNlPC9rZXl3b3JkPjxrZXl3b3JkPlByZWduYW5jeTwva2V5d29yZD48a2V5d29yZD5QcmV2
YWxlbmNlPC9rZXl3b3JkPjxrZXl3b3JkPlJlZ2lzdHJpZXMvKnN0YXRpc3RpY3MgJmFtcDsgbnVt
ZXJpY2FsIGRhdGE8L2tleXdvcmQ+PC9rZXl3b3Jkcz48ZGF0ZXM+PHllYXI+MjAxMTwveWVhcj48
cHViLWRhdGVzPjxkYXRlPk1hcjwvZGF0ZT48L3B1Yi1kYXRlcz48L2RhdGVzPjxpc2JuPjE1NDIt
MDc2MCAoRWxlY3Ryb25pYykmI3hEOzE1NDItMDc1MiAoTGlua2luZyk8L2lzYm4+PGFjY2Vzc2lv
bi1udW0+MjEzODQ1Mjk8L2FjY2Vzc2lvbi1udW0+PHVybHM+PHJlbGF0ZWQtdXJscz48dXJsPmh0
dHA6Ly93d3cubmNiaS5ubG0ubmloLmdvdi9wdWJtZWQvMjEzODQ1Mjk8L3VybD48L3JlbGF0ZWQt
dXJscz48L3VybHM+PGVsZWN0cm9uaWMtcmVzb3VyY2UtbnVtPjEwLjEwMDIvYmRyYS4yMDc3Nzwv
ZWxlY3Ryb25pYy1yZXNvdXJjZS1udW0+PC9yZWNvcmQ+PC9DaXRlPjwvRW5kTm90ZT4A
</w:fldData>
        </w:fldChar>
      </w:r>
      <w:r>
        <w:rPr>
          <w:sz w:val="24"/>
          <w:szCs w:val="24"/>
        </w:rPr>
        <w:instrText xml:space="preserve"> ADDIN EN.CITE </w:instrText>
      </w:r>
      <w:r>
        <w:rPr>
          <w:sz w:val="24"/>
          <w:szCs w:val="24"/>
        </w:rPr>
        <w:fldChar w:fldCharType="begin">
          <w:fldData xml:space="preserve">PEVuZE5vdGU+PENpdGU+PEF1dGhvcj5HYXJuZTwvQXV0aG9yPjxZZWFyPjIwMTE8L1llYXI+PFJl
Y051bT4xOTwvUmVjTnVtPjxEaXNwbGF5VGV4dD48c3R5bGUgZmFjZT0ic3VwZXJzY3JpcHQiPjI8
L3N0eWxlPjwvRGlzcGxheVRleHQ+PHJlY29yZD48cmVjLW51bWJlcj4xOTwvcmVjLW51bWJlcj48
Zm9yZWlnbi1rZXlzPjxrZXkgYXBwPSJFTiIgZGItaWQ9InBwOTBmMGE1ZTlmdnNsZWF4cGR2ZHRl
MHgwcHAwYXRmeHNkdyIgdGltZXN0YW1wPSIxNjE3MjA2NzM0Ij4xOTwva2V5PjwvZm9yZWlnbi1r
ZXlzPjxyZWYtdHlwZSBuYW1lPSJKb3VybmFsIEFydGljbGUiPjE3PC9yZWYtdHlwZT48Y29udHJp
YnV0b3JzPjxhdXRob3JzPjxhdXRob3I+R2FybmUsIEUuPC9hdXRob3I+PGF1dGhvcj5Eb2xrLCBI
LjwvYXV0aG9yPjxhdXRob3I+TG9hbmUsIE0uPC9hdXRob3I+PGF1dGhvcj5XZWxsZXNsZXksIEQu
PC9hdXRob3I+PGF1dGhvcj5CYXJpc2ljLCBJLjwvYXV0aG9yPjxhdXRob3I+Q2Fsem9sYXJpLCBF
LjwvYXV0aG9yPjxhdXRob3I+RGVuc2VtLCBKLjwvYXV0aG9yPjxhdXRob3I+RXVyb2NhdCBXb3Jr
aW5nIEdyb3VwPC9hdXRob3I+PC9hdXRob3JzPjwvY29udHJpYnV0b3JzPjxhdXRoLWFkZHJlc3M+
UGFlZGlhdHJpYyBEZXBhcnRtZW50LCBIb3NwaXRhbCBMaWxsZWJhZWx0LCBLb2xkaW5nLCBEZW5t
YXJrLiBlc3Rlci5nYXJuZUBzbGIucmVnaW9uc3lkZGFubWFyay5kazwvYXV0aC1hZGRyZXNzPjx0
aXRsZXM+PHRpdGxlPlBhcGVyIDU6IFN1cnZlaWxsYW5jZSBvZiBtdWx0aXBsZSBjb25nZW5pdGFs
IGFub21hbGllczogaW1wbGVtZW50YXRpb24gb2YgYSBjb21wdXRlciBhbGdvcml0aG0gaW4gRXVy
b3BlYW4gcmVnaXN0ZXJzIGZvciBjbGFzc2lmaWNhdGlvbiBvZiBjYXNlczwvdGl0bGU+PHNlY29u
ZGFyeS10aXRsZT5CaXJ0aCBEZWZlY3RzIFJlcyBBIENsaW4gTW9sIFRlcmF0b2w8L3NlY29uZGFy
eS10aXRsZT48YWx0LXRpdGxlPkJpcnRoIGRlZmVjdHMgcmVzZWFyY2guIFBhcnQgQSwgQ2xpbmlj
YWwgYW5kIG1vbGVjdWxhciB0ZXJhdG9sb2d5PC9hbHQtdGl0bGU+PC90aXRsZXM+PHBlcmlvZGlj
YWw+PGZ1bGwtdGl0bGU+QmlydGggRGVmZWN0cyBSZXMgQSBDbGluIE1vbCBUZXJhdG9sPC9mdWxs
LXRpdGxlPjxhYmJyLTE+QmlydGggZGVmZWN0cyByZXNlYXJjaC4gUGFydCBBLCBDbGluaWNhbCBh
bmQgbW9sZWN1bGFyIHRlcmF0b2xvZ3k8L2FiYnItMT48L3BlcmlvZGljYWw+PGFsdC1wZXJpb2Rp
Y2FsPjxmdWxsLXRpdGxlPkJpcnRoIERlZmVjdHMgUmVzIEEgQ2xpbiBNb2wgVGVyYXRvbDwvZnVs
bC10aXRsZT48YWJici0xPkJpcnRoIGRlZmVjdHMgcmVzZWFyY2guIFBhcnQgQSwgQ2xpbmljYWwg
YW5kIG1vbGVjdWxhciB0ZXJhdG9sb2d5PC9hYmJyLTE+PC9hbHQtcGVyaW9kaWNhbD48cGFnZXM+
UzQ0LTUwPC9wYWdlcz48dm9sdW1lPjkxIFN1cHBsIDE8L3ZvbHVtZT48a2V5d29yZHM+PGtleXdv
cmQ+QWJub3JtYWxpdGllcywgTXVsdGlwbGUvKmNsYXNzaWZpY2F0aW9uL2VwaWRlbWlvbG9neTwv
a2V5d29yZD48a2V5d29yZD5BbGdvcml0aG1zPC9rZXl3b3JkPjxrZXl3b3JkPkZlbWFsZTwva2V5
d29yZD48a2V5d29yZD5IdW1hbnM8L2tleXdvcmQ+PGtleXdvcmQ+KlBvcHVsYXRpb24gU3VydmVp
bGxhbmNlPC9rZXl3b3JkPjxrZXl3b3JkPlByZWduYW5jeTwva2V5d29yZD48a2V5d29yZD5QcmV2
YWxlbmNlPC9rZXl3b3JkPjxrZXl3b3JkPlJlZ2lzdHJpZXMvKnN0YXRpc3RpY3MgJmFtcDsgbnVt
ZXJpY2FsIGRhdGE8L2tleXdvcmQ+PC9rZXl3b3Jkcz48ZGF0ZXM+PHllYXI+MjAxMTwveWVhcj48
cHViLWRhdGVzPjxkYXRlPk1hcjwvZGF0ZT48L3B1Yi1kYXRlcz48L2RhdGVzPjxpc2JuPjE1NDIt
MDc2MCAoRWxlY3Ryb25pYykmI3hEOzE1NDItMDc1MiAoTGlua2luZyk8L2lzYm4+PGFjY2Vzc2lv
bi1udW0+MjEzODQ1Mjk8L2FjY2Vzc2lvbi1udW0+PHVybHM+PHJlbGF0ZWQtdXJscz48dXJsPmh0
dHA6Ly93d3cubmNiaS5ubG0ubmloLmdvdi9wdWJtZWQvMjEzODQ1Mjk8L3VybD48L3JlbGF0ZWQt
dXJscz48L3VybHM+PGVsZWN0cm9uaWMtcmVzb3VyY2UtbnVtPjEwLjEwMDIvYmRyYS4yMDc3Nzwv
ZWxlY3Ryb25pYy1yZXNvdXJjZS1udW0+PC9yZWNvcmQ+PC9DaXRlPjwvRW5kTm90ZT4A
</w:fldData>
        </w:fldChar>
      </w:r>
      <w:r>
        <w:rPr>
          <w:sz w:val="24"/>
          <w:szCs w:val="24"/>
        </w:rPr>
        <w:instrText xml:space="preserve"> ADDIN EN.CITE.DATA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95665">
        <w:rPr>
          <w:noProof/>
          <w:sz w:val="24"/>
          <w:szCs w:val="24"/>
          <w:vertAlign w:val="superscript"/>
        </w:rPr>
        <w:t>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)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will be included. Fo</w:t>
      </w:r>
      <w:r>
        <w:rPr>
          <w:sz w:val="24"/>
          <w:szCs w:val="24"/>
        </w:rPr>
        <w:t xml:space="preserve">r chromosomal anomalies </w:t>
      </w:r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(coded as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C</w:t>
      </w:r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in '</w:t>
      </w:r>
      <w:proofErr w:type="spellStart"/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>mult_malf</w:t>
      </w:r>
      <w:proofErr w:type="spellEnd"/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>' variable)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, the following chromosomal syndromes will be included: </w:t>
      </w:r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>Down syndrome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(al89), </w:t>
      </w:r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Down syndrome with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a congenital heart defect (C</w:t>
      </w:r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>HD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) (</w:t>
      </w:r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>al89+al17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), </w:t>
      </w:r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>Down syndrome without CHD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(</w:t>
      </w:r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>al89 excluding al17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) and </w:t>
      </w:r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>Turner syndrome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(</w:t>
      </w:r>
      <w:r w:rsidRPr="000D6F80">
        <w:rPr>
          <w:rFonts w:ascii="Calibri" w:eastAsia="Times New Roman" w:hAnsi="Calibri" w:cs="Times New Roman"/>
          <w:bCs/>
          <w:sz w:val="24"/>
          <w:szCs w:val="24"/>
          <w:lang w:eastAsia="en-GB"/>
        </w:rPr>
        <w:t>al92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)</w:t>
      </w:r>
      <w:r w:rsidR="007E652B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(see Table 1)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.</w:t>
      </w:r>
    </w:p>
    <w:p w14:paraId="273D197E" w14:textId="77777777" w:rsidR="003432F3" w:rsidRPr="000D6F80" w:rsidRDefault="003432F3" w:rsidP="003432F3">
      <w:pPr>
        <w:rPr>
          <w:sz w:val="24"/>
          <w:szCs w:val="24"/>
        </w:rPr>
      </w:pPr>
    </w:p>
    <w:p w14:paraId="6E07B988" w14:textId="77777777" w:rsidR="003432F3" w:rsidRPr="009A08D7" w:rsidRDefault="003432F3" w:rsidP="003432F3">
      <w:pPr>
        <w:rPr>
          <w:b/>
          <w:bCs/>
          <w:sz w:val="28"/>
          <w:szCs w:val="28"/>
        </w:rPr>
      </w:pPr>
      <w:r w:rsidRPr="009A08D7">
        <w:rPr>
          <w:b/>
          <w:bCs/>
          <w:sz w:val="28"/>
          <w:szCs w:val="28"/>
        </w:rPr>
        <w:t>Tables 0-</w:t>
      </w:r>
      <w:r>
        <w:rPr>
          <w:b/>
          <w:bCs/>
          <w:sz w:val="28"/>
          <w:szCs w:val="28"/>
        </w:rPr>
        <w:t>1</w:t>
      </w:r>
      <w:r w:rsidRPr="009A08D7">
        <w:rPr>
          <w:b/>
          <w:bCs/>
          <w:sz w:val="28"/>
          <w:szCs w:val="28"/>
        </w:rPr>
        <w:t xml:space="preserve"> – evaluating quality of linkage between the EUROCAT registry data and education data</w:t>
      </w:r>
    </w:p>
    <w:p w14:paraId="3965908A" w14:textId="1BED3AF9" w:rsidR="003432F3" w:rsidRPr="00926F7B" w:rsidRDefault="003432F3" w:rsidP="003432F3">
      <w:pPr>
        <w:rPr>
          <w:sz w:val="24"/>
          <w:szCs w:val="24"/>
        </w:rPr>
      </w:pPr>
      <w:r w:rsidRPr="00B87EF1">
        <w:rPr>
          <w:b/>
          <w:bCs/>
          <w:sz w:val="24"/>
          <w:szCs w:val="24"/>
        </w:rPr>
        <w:t>Table 0. Quality of linkage between EUROCAT registries and education data</w:t>
      </w:r>
      <w:r>
        <w:rPr>
          <w:b/>
          <w:bCs/>
          <w:sz w:val="24"/>
          <w:szCs w:val="24"/>
        </w:rPr>
        <w:t xml:space="preserve"> </w:t>
      </w:r>
      <w:r w:rsidR="0033235A" w:rsidRPr="0033235A">
        <w:rPr>
          <w:b/>
          <w:bCs/>
          <w:sz w:val="24"/>
          <w:szCs w:val="24"/>
        </w:rPr>
        <w:t>by CA subgroup and year of birth</w:t>
      </w:r>
      <w:r w:rsidR="003323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 w:rsidRPr="000D6F80">
        <w:rPr>
          <w:sz w:val="24"/>
          <w:szCs w:val="24"/>
        </w:rPr>
        <w:t xml:space="preserve">using </w:t>
      </w:r>
      <w:r>
        <w:rPr>
          <w:sz w:val="24"/>
          <w:szCs w:val="24"/>
        </w:rPr>
        <w:t>the n</w:t>
      </w:r>
      <w:r w:rsidRPr="00B87EF1">
        <w:rPr>
          <w:sz w:val="24"/>
          <w:szCs w:val="24"/>
        </w:rPr>
        <w:t xml:space="preserve">umber </w:t>
      </w:r>
      <w:r w:rsidRPr="00926F7B">
        <w:rPr>
          <w:sz w:val="24"/>
          <w:szCs w:val="24"/>
        </w:rPr>
        <w:t xml:space="preserve">of </w:t>
      </w:r>
      <w:r>
        <w:rPr>
          <w:sz w:val="24"/>
          <w:szCs w:val="24"/>
        </w:rPr>
        <w:t>referent</w:t>
      </w:r>
      <w:r w:rsidRPr="00926F7B">
        <w:rPr>
          <w:sz w:val="24"/>
          <w:szCs w:val="24"/>
        </w:rPr>
        <w:t xml:space="preserve"> children and children born with CAs and alive by age</w:t>
      </w:r>
      <w:r>
        <w:rPr>
          <w:sz w:val="24"/>
          <w:szCs w:val="24"/>
        </w:rPr>
        <w:t xml:space="preserve"> a) 12 years &amp; b) 17</w:t>
      </w:r>
      <w:r w:rsidRPr="00926F7B">
        <w:rPr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 w:rsidRPr="00926F7B">
        <w:rPr>
          <w:sz w:val="24"/>
          <w:szCs w:val="24"/>
        </w:rPr>
        <w:t xml:space="preserve"> (expected number) and those linked to education data, by </w:t>
      </w:r>
      <w:r>
        <w:rPr>
          <w:sz w:val="24"/>
          <w:szCs w:val="24"/>
        </w:rPr>
        <w:t>CA</w:t>
      </w:r>
      <w:r w:rsidRPr="00926F7B">
        <w:rPr>
          <w:sz w:val="24"/>
          <w:szCs w:val="24"/>
        </w:rPr>
        <w:t xml:space="preserve"> subgroup and year of birth</w:t>
      </w:r>
      <w:r>
        <w:rPr>
          <w:sz w:val="24"/>
          <w:szCs w:val="24"/>
        </w:rPr>
        <w:t xml:space="preserve"> (</w:t>
      </w:r>
      <w:r w:rsidRPr="00592A1F">
        <w:rPr>
          <w:sz w:val="24"/>
          <w:szCs w:val="24"/>
        </w:rPr>
        <w:t xml:space="preserve">starting from </w:t>
      </w:r>
      <w:r>
        <w:rPr>
          <w:sz w:val="24"/>
          <w:szCs w:val="24"/>
        </w:rPr>
        <w:t xml:space="preserve">1995 for English registries and from </w:t>
      </w:r>
      <w:r w:rsidRPr="00592A1F">
        <w:rPr>
          <w:sz w:val="24"/>
          <w:szCs w:val="24"/>
        </w:rPr>
        <w:t>1998 for Wales)</w:t>
      </w:r>
      <w:r w:rsidRPr="00926F7B">
        <w:rPr>
          <w:sz w:val="24"/>
          <w:szCs w:val="24"/>
        </w:rPr>
        <w:t xml:space="preserve">. </w:t>
      </w:r>
    </w:p>
    <w:p w14:paraId="0866DAF9" w14:textId="77777777" w:rsidR="003432F3" w:rsidRDefault="003432F3" w:rsidP="003432F3">
      <w:pPr>
        <w:rPr>
          <w:sz w:val="24"/>
          <w:szCs w:val="24"/>
        </w:rPr>
      </w:pPr>
      <w:r w:rsidRPr="00926F7B">
        <w:rPr>
          <w:sz w:val="24"/>
          <w:szCs w:val="24"/>
        </w:rPr>
        <w:t>Linkage quality will be investigated locally by providing the expected number of children alive by school age (</w:t>
      </w:r>
      <w:r>
        <w:rPr>
          <w:sz w:val="24"/>
          <w:szCs w:val="24"/>
        </w:rPr>
        <w:t xml:space="preserve">Table 0a) </w:t>
      </w:r>
      <w:r w:rsidRPr="00926F7B">
        <w:rPr>
          <w:sz w:val="24"/>
          <w:szCs w:val="24"/>
        </w:rPr>
        <w:t xml:space="preserve">age </w:t>
      </w:r>
      <w:r>
        <w:rPr>
          <w:sz w:val="24"/>
          <w:szCs w:val="24"/>
        </w:rPr>
        <w:t>12 years &amp; Table 0b) 17</w:t>
      </w:r>
      <w:r w:rsidRPr="00926F7B">
        <w:rPr>
          <w:sz w:val="24"/>
          <w:szCs w:val="24"/>
        </w:rPr>
        <w:t xml:space="preserve"> years) and the number of children linked to education data by birth year (1998-</w:t>
      </w:r>
      <w:r>
        <w:rPr>
          <w:sz w:val="24"/>
          <w:szCs w:val="24"/>
        </w:rPr>
        <w:t xml:space="preserve"> 2007 for Wales and 1995-2007 for BINOCAR as the last birth year for 11-year-old children in 2017/18 school year is 2007, last birth year for 16-year olds - 2002) and CA subgroup for cases and for referent children and by calculating the percentage linked. </w:t>
      </w:r>
    </w:p>
    <w:p w14:paraId="6CEB37F4" w14:textId="548B34FA" w:rsidR="003432F3" w:rsidRDefault="003432F3" w:rsidP="003432F3">
      <w:pPr>
        <w:rPr>
          <w:sz w:val="24"/>
          <w:szCs w:val="24"/>
        </w:rPr>
      </w:pPr>
      <w:bookmarkStart w:id="3" w:name="_Hlk72489684"/>
      <w:r w:rsidRPr="00D42775">
        <w:rPr>
          <w:sz w:val="24"/>
          <w:szCs w:val="24"/>
        </w:rPr>
        <w:t xml:space="preserve">Data </w:t>
      </w:r>
      <w:r w:rsidRPr="00566139">
        <w:rPr>
          <w:sz w:val="24"/>
          <w:szCs w:val="24"/>
        </w:rPr>
        <w:t xml:space="preserve">quality criteria for inclusion in the full analysis </w:t>
      </w:r>
      <w:bookmarkEnd w:id="3"/>
      <w:r>
        <w:rPr>
          <w:sz w:val="24"/>
          <w:szCs w:val="24"/>
        </w:rPr>
        <w:t>will be</w:t>
      </w:r>
      <w:r w:rsidRPr="00566139">
        <w:rPr>
          <w:sz w:val="24"/>
          <w:szCs w:val="24"/>
        </w:rPr>
        <w:t xml:space="preserve"> agreed </w:t>
      </w:r>
      <w:r>
        <w:rPr>
          <w:sz w:val="24"/>
          <w:szCs w:val="24"/>
        </w:rPr>
        <w:t xml:space="preserve">for Wales and the BINOCAR registries as soon as the access to the BINOCAR data </w:t>
      </w:r>
      <w:r w:rsidR="003B5C91">
        <w:rPr>
          <w:sz w:val="24"/>
          <w:szCs w:val="24"/>
        </w:rPr>
        <w:t>is</w:t>
      </w:r>
      <w:r>
        <w:rPr>
          <w:sz w:val="24"/>
          <w:szCs w:val="24"/>
        </w:rPr>
        <w:t xml:space="preserve"> obtained and the data examined.</w:t>
      </w:r>
    </w:p>
    <w:p w14:paraId="16CE8002" w14:textId="43EBE726" w:rsidR="003432F3" w:rsidRDefault="003432F3" w:rsidP="003432F3">
      <w:pPr>
        <w:rPr>
          <w:sz w:val="24"/>
          <w:szCs w:val="24"/>
        </w:rPr>
      </w:pPr>
      <w:r w:rsidRPr="00B87EF1">
        <w:rPr>
          <w:b/>
          <w:bCs/>
          <w:sz w:val="24"/>
          <w:szCs w:val="24"/>
        </w:rPr>
        <w:t>Table 1. Quality of linkage between EUROCAT registries and education data</w:t>
      </w:r>
      <w:r w:rsidR="0033235A">
        <w:rPr>
          <w:b/>
          <w:bCs/>
          <w:sz w:val="24"/>
          <w:szCs w:val="24"/>
        </w:rPr>
        <w:t xml:space="preserve"> </w:t>
      </w:r>
      <w:r w:rsidR="0033235A" w:rsidRPr="0033235A">
        <w:rPr>
          <w:b/>
          <w:bCs/>
          <w:sz w:val="24"/>
          <w:szCs w:val="24"/>
        </w:rPr>
        <w:t>CA subgroup and educational stage</w:t>
      </w:r>
      <w:r>
        <w:rPr>
          <w:b/>
          <w:bCs/>
          <w:sz w:val="24"/>
          <w:szCs w:val="24"/>
        </w:rPr>
        <w:t xml:space="preserve"> – </w:t>
      </w:r>
      <w:r w:rsidRPr="003E135A">
        <w:rPr>
          <w:sz w:val="24"/>
          <w:szCs w:val="24"/>
        </w:rPr>
        <w:t>using the</w:t>
      </w:r>
      <w:r>
        <w:rPr>
          <w:b/>
          <w:bCs/>
          <w:sz w:val="24"/>
          <w:szCs w:val="24"/>
        </w:rPr>
        <w:t xml:space="preserve"> </w:t>
      </w:r>
      <w:r w:rsidRPr="003E135A">
        <w:rPr>
          <w:sz w:val="24"/>
          <w:szCs w:val="24"/>
        </w:rPr>
        <w:t xml:space="preserve">number </w:t>
      </w:r>
      <w:r w:rsidRPr="004F6637">
        <w:rPr>
          <w:sz w:val="24"/>
          <w:szCs w:val="24"/>
        </w:rPr>
        <w:t xml:space="preserve">of </w:t>
      </w:r>
      <w:r>
        <w:rPr>
          <w:sz w:val="24"/>
          <w:szCs w:val="24"/>
        </w:rPr>
        <w:t>referent</w:t>
      </w:r>
      <w:r w:rsidRPr="004F6637">
        <w:rPr>
          <w:sz w:val="24"/>
          <w:szCs w:val="24"/>
        </w:rPr>
        <w:t xml:space="preserve"> children and children</w:t>
      </w:r>
      <w:r w:rsidRPr="003E135A">
        <w:rPr>
          <w:sz w:val="24"/>
          <w:szCs w:val="24"/>
        </w:rPr>
        <w:t xml:space="preserve"> born with </w:t>
      </w:r>
      <w:proofErr w:type="gramStart"/>
      <w:r w:rsidR="008D3742">
        <w:rPr>
          <w:sz w:val="24"/>
          <w:szCs w:val="24"/>
        </w:rPr>
        <w:t>CAs,</w:t>
      </w:r>
      <w:r w:rsidRPr="003E135A">
        <w:rPr>
          <w:sz w:val="24"/>
          <w:szCs w:val="24"/>
        </w:rPr>
        <w:t xml:space="preserve"> and</w:t>
      </w:r>
      <w:proofErr w:type="gramEnd"/>
      <w:r w:rsidRPr="003E135A">
        <w:rPr>
          <w:sz w:val="24"/>
          <w:szCs w:val="24"/>
        </w:rPr>
        <w:t xml:space="preserve"> assumed alive at the end of each educational stage (expected number) and those linked with education data, by </w:t>
      </w:r>
      <w:r w:rsidR="008D3742">
        <w:rPr>
          <w:sz w:val="24"/>
          <w:szCs w:val="24"/>
        </w:rPr>
        <w:t>CA</w:t>
      </w:r>
      <w:r w:rsidRPr="003E135A">
        <w:rPr>
          <w:sz w:val="24"/>
          <w:szCs w:val="24"/>
        </w:rPr>
        <w:t xml:space="preserve"> subgroup</w:t>
      </w:r>
      <w:r>
        <w:rPr>
          <w:sz w:val="24"/>
          <w:szCs w:val="24"/>
        </w:rPr>
        <w:t xml:space="preserve">. </w:t>
      </w:r>
    </w:p>
    <w:p w14:paraId="0B1183A7" w14:textId="4C0F8388" w:rsidR="003432F3" w:rsidRDefault="003432F3" w:rsidP="003432F3">
      <w:pPr>
        <w:rPr>
          <w:sz w:val="24"/>
          <w:szCs w:val="24"/>
        </w:rPr>
      </w:pPr>
      <w:r>
        <w:rPr>
          <w:sz w:val="24"/>
          <w:szCs w:val="24"/>
        </w:rPr>
        <w:t xml:space="preserve">Children known to have died (based on Office for National Statistics (ONS) mortality data from </w:t>
      </w:r>
      <w:r w:rsidRPr="00E008C7">
        <w:rPr>
          <w:sz w:val="24"/>
        </w:rPr>
        <w:t>NHS Digital</w:t>
      </w:r>
      <w:r>
        <w:rPr>
          <w:sz w:val="24"/>
        </w:rPr>
        <w:t>)</w:t>
      </w:r>
      <w:r>
        <w:rPr>
          <w:sz w:val="24"/>
          <w:szCs w:val="24"/>
        </w:rPr>
        <w:t xml:space="preserve"> at the end of each educational stage included (to an average of 11 years for Key Stage 2 and 16 years for Key Stage 4) will be excluded before the linkage for each </w:t>
      </w:r>
      <w:r w:rsidR="008D3742">
        <w:rPr>
          <w:sz w:val="24"/>
          <w:szCs w:val="24"/>
        </w:rPr>
        <w:t>K</w:t>
      </w:r>
      <w:r>
        <w:rPr>
          <w:sz w:val="24"/>
          <w:szCs w:val="24"/>
        </w:rPr>
        <w:t>ey stage.</w:t>
      </w:r>
    </w:p>
    <w:p w14:paraId="39F4569D" w14:textId="0A35D35F" w:rsidR="003432F3" w:rsidRDefault="003432F3" w:rsidP="003432F3">
      <w:pPr>
        <w:rPr>
          <w:sz w:val="24"/>
          <w:szCs w:val="24"/>
        </w:rPr>
      </w:pPr>
      <w:r>
        <w:rPr>
          <w:sz w:val="24"/>
          <w:szCs w:val="24"/>
        </w:rPr>
        <w:t>The WP5 team have recently agreed that for the WP5 report due on 30</w:t>
      </w:r>
      <w:r w:rsidRPr="003E13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2021, the results of the analysis</w:t>
      </w:r>
      <w:r w:rsidRPr="004F1E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educational outcomes at KS2 and KS4 only, as primary </w:t>
      </w:r>
      <w:r>
        <w:rPr>
          <w:sz w:val="24"/>
          <w:szCs w:val="24"/>
        </w:rPr>
        <w:lastRenderedPageBreak/>
        <w:t xml:space="preserve">outcomes, will be reported. Therefore, the tables for other </w:t>
      </w:r>
      <w:r w:rsidR="008D3742">
        <w:rPr>
          <w:sz w:val="24"/>
          <w:szCs w:val="24"/>
        </w:rPr>
        <w:t>K</w:t>
      </w:r>
      <w:r>
        <w:rPr>
          <w:sz w:val="24"/>
          <w:szCs w:val="24"/>
        </w:rPr>
        <w:t>ey stages have been removed from this analysis plan. The analysis for younger children (</w:t>
      </w:r>
      <w:r w:rsidRPr="004F1E1E">
        <w:rPr>
          <w:sz w:val="24"/>
          <w:szCs w:val="24"/>
        </w:rPr>
        <w:t>Early Years Foundation Stage Profile (EYFSP)</w:t>
      </w:r>
      <w:r>
        <w:rPr>
          <w:sz w:val="24"/>
          <w:szCs w:val="24"/>
        </w:rPr>
        <w:t xml:space="preserve"> and KS1) and KS3 can be performed as a supplementary analysis at a later stage if time allows.</w:t>
      </w:r>
    </w:p>
    <w:p w14:paraId="2A48C036" w14:textId="77777777" w:rsidR="003E135A" w:rsidRDefault="003E135A">
      <w:pPr>
        <w:rPr>
          <w:b/>
          <w:bCs/>
          <w:sz w:val="24"/>
          <w:szCs w:val="24"/>
        </w:rPr>
      </w:pPr>
    </w:p>
    <w:p w14:paraId="440297D5" w14:textId="77777777" w:rsidR="00154A55" w:rsidRPr="009A08D7" w:rsidRDefault="00154A55" w:rsidP="00154A55">
      <w:pPr>
        <w:rPr>
          <w:b/>
          <w:bCs/>
          <w:sz w:val="28"/>
          <w:szCs w:val="28"/>
        </w:rPr>
      </w:pPr>
      <w:r w:rsidRPr="009A08D7">
        <w:rPr>
          <w:b/>
          <w:bCs/>
          <w:sz w:val="28"/>
          <w:szCs w:val="28"/>
        </w:rPr>
        <w:t xml:space="preserve">Key Stage 2 (KS2) </w:t>
      </w:r>
      <w:r w:rsidR="00E30F33">
        <w:rPr>
          <w:b/>
          <w:bCs/>
          <w:sz w:val="28"/>
          <w:szCs w:val="28"/>
        </w:rPr>
        <w:t>–</w:t>
      </w:r>
      <w:r w:rsidRPr="009A08D7">
        <w:rPr>
          <w:b/>
          <w:bCs/>
          <w:sz w:val="28"/>
          <w:szCs w:val="28"/>
        </w:rPr>
        <w:t>11</w:t>
      </w:r>
      <w:r w:rsidR="0004185F">
        <w:rPr>
          <w:b/>
          <w:bCs/>
          <w:sz w:val="28"/>
          <w:szCs w:val="28"/>
        </w:rPr>
        <w:t>-</w:t>
      </w:r>
      <w:r w:rsidRPr="009A08D7">
        <w:rPr>
          <w:b/>
          <w:bCs/>
          <w:sz w:val="28"/>
          <w:szCs w:val="28"/>
        </w:rPr>
        <w:t>y</w:t>
      </w:r>
      <w:r w:rsidR="009A08D7" w:rsidRPr="009A08D7">
        <w:rPr>
          <w:b/>
          <w:bCs/>
          <w:sz w:val="28"/>
          <w:szCs w:val="28"/>
        </w:rPr>
        <w:t>ea</w:t>
      </w:r>
      <w:r w:rsidRPr="009A08D7">
        <w:rPr>
          <w:b/>
          <w:bCs/>
          <w:sz w:val="28"/>
          <w:szCs w:val="28"/>
        </w:rPr>
        <w:t>r</w:t>
      </w:r>
      <w:r w:rsidR="0004185F">
        <w:rPr>
          <w:b/>
          <w:bCs/>
          <w:sz w:val="28"/>
          <w:szCs w:val="28"/>
        </w:rPr>
        <w:t>-old</w:t>
      </w:r>
      <w:r w:rsidR="00E30F33">
        <w:rPr>
          <w:b/>
          <w:bCs/>
          <w:sz w:val="28"/>
          <w:szCs w:val="28"/>
        </w:rPr>
        <w:t xml:space="preserve"> </w:t>
      </w:r>
      <w:r w:rsidR="0004185F">
        <w:rPr>
          <w:b/>
          <w:bCs/>
          <w:sz w:val="28"/>
          <w:szCs w:val="28"/>
        </w:rPr>
        <w:t xml:space="preserve">children </w:t>
      </w:r>
    </w:p>
    <w:p w14:paraId="32879368" w14:textId="09DCA7B0" w:rsidR="00154A55" w:rsidRDefault="006C0815">
      <w:pPr>
        <w:rPr>
          <w:sz w:val="24"/>
          <w:szCs w:val="24"/>
        </w:rPr>
      </w:pPr>
      <w:r w:rsidRPr="006C0815">
        <w:rPr>
          <w:b/>
          <w:bCs/>
          <w:sz w:val="24"/>
          <w:szCs w:val="24"/>
        </w:rPr>
        <w:t xml:space="preserve">KS2 </w:t>
      </w:r>
      <w:r w:rsidR="0027281A">
        <w:rPr>
          <w:b/>
          <w:bCs/>
          <w:sz w:val="24"/>
          <w:szCs w:val="24"/>
        </w:rPr>
        <w:t>–</w:t>
      </w:r>
      <w:r w:rsidRPr="006C0815">
        <w:rPr>
          <w:b/>
          <w:bCs/>
          <w:sz w:val="24"/>
          <w:szCs w:val="24"/>
        </w:rPr>
        <w:t xml:space="preserve"> T</w:t>
      </w:r>
      <w:r w:rsidR="0027281A">
        <w:rPr>
          <w:b/>
          <w:bCs/>
          <w:sz w:val="24"/>
          <w:szCs w:val="24"/>
        </w:rPr>
        <w:t xml:space="preserve">able </w:t>
      </w:r>
      <w:r w:rsidRPr="006C0815">
        <w:rPr>
          <w:b/>
          <w:bCs/>
          <w:sz w:val="24"/>
          <w:szCs w:val="24"/>
        </w:rPr>
        <w:t xml:space="preserve">A. </w:t>
      </w:r>
      <w:r w:rsidRPr="006C0815">
        <w:rPr>
          <w:sz w:val="24"/>
          <w:szCs w:val="24"/>
        </w:rPr>
        <w:t xml:space="preserve">Sociodemographic </w:t>
      </w:r>
      <w:r w:rsidR="00E85C74">
        <w:rPr>
          <w:sz w:val="24"/>
          <w:szCs w:val="24"/>
        </w:rPr>
        <w:t>status</w:t>
      </w:r>
      <w:r w:rsidRPr="006C0815">
        <w:rPr>
          <w:sz w:val="24"/>
          <w:szCs w:val="24"/>
        </w:rPr>
        <w:t xml:space="preserve"> of linked children </w:t>
      </w:r>
      <w:r w:rsidR="00E85C74">
        <w:rPr>
          <w:sz w:val="24"/>
          <w:szCs w:val="24"/>
        </w:rPr>
        <w:t>(typically aged 11</w:t>
      </w:r>
      <w:r w:rsidR="00EB73D9">
        <w:rPr>
          <w:sz w:val="24"/>
          <w:szCs w:val="24"/>
        </w:rPr>
        <w:t xml:space="preserve"> years</w:t>
      </w:r>
      <w:r w:rsidR="00E85C74">
        <w:rPr>
          <w:sz w:val="24"/>
          <w:szCs w:val="24"/>
        </w:rPr>
        <w:t xml:space="preserve">) </w:t>
      </w:r>
      <w:r w:rsidRPr="006C0815">
        <w:rPr>
          <w:sz w:val="24"/>
          <w:szCs w:val="24"/>
        </w:rPr>
        <w:t xml:space="preserve">with Key Stage 2 (KS2) </w:t>
      </w:r>
      <w:r w:rsidRPr="004F6637">
        <w:rPr>
          <w:sz w:val="24"/>
          <w:szCs w:val="24"/>
        </w:rPr>
        <w:t>data (</w:t>
      </w:r>
      <w:r w:rsidR="00E85C74">
        <w:rPr>
          <w:sz w:val="24"/>
          <w:szCs w:val="24"/>
        </w:rPr>
        <w:t>referent</w:t>
      </w:r>
      <w:r w:rsidRPr="004F6637">
        <w:rPr>
          <w:sz w:val="24"/>
          <w:szCs w:val="24"/>
        </w:rPr>
        <w:t>s and cases) by</w:t>
      </w:r>
      <w:r w:rsidRPr="006C0815">
        <w:rPr>
          <w:sz w:val="24"/>
          <w:szCs w:val="24"/>
        </w:rPr>
        <w:t xml:space="preserve"> specific congenital anomaly</w:t>
      </w:r>
      <w:r>
        <w:rPr>
          <w:sz w:val="24"/>
          <w:szCs w:val="24"/>
        </w:rPr>
        <w:t xml:space="preserve"> (CA)</w:t>
      </w:r>
      <w:r w:rsidRPr="006C0815">
        <w:rPr>
          <w:sz w:val="24"/>
          <w:szCs w:val="24"/>
        </w:rPr>
        <w:t xml:space="preserve"> subgroup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 children with CAs</w:t>
      </w:r>
      <w:r w:rsidR="00804E59">
        <w:rPr>
          <w:sz w:val="24"/>
          <w:szCs w:val="24"/>
        </w:rPr>
        <w:t>.</w:t>
      </w:r>
    </w:p>
    <w:p w14:paraId="162ECC22" w14:textId="307E5AB3" w:rsidR="006C0815" w:rsidRDefault="006C0815" w:rsidP="006C0815">
      <w:pPr>
        <w:rPr>
          <w:sz w:val="24"/>
          <w:szCs w:val="24"/>
        </w:rPr>
      </w:pPr>
      <w:r w:rsidRPr="003E135A">
        <w:rPr>
          <w:sz w:val="24"/>
          <w:szCs w:val="24"/>
        </w:rPr>
        <w:t>The descriptive table</w:t>
      </w:r>
      <w:r>
        <w:rPr>
          <w:sz w:val="24"/>
          <w:szCs w:val="24"/>
        </w:rPr>
        <w:t xml:space="preserve"> for child’s sex, gestational age</w:t>
      </w:r>
      <w:r w:rsidR="00AF0ABF">
        <w:rPr>
          <w:sz w:val="24"/>
          <w:szCs w:val="24"/>
        </w:rPr>
        <w:t xml:space="preserve"> (</w:t>
      </w:r>
      <w:r w:rsidR="00203BB1">
        <w:rPr>
          <w:sz w:val="24"/>
          <w:szCs w:val="24"/>
        </w:rPr>
        <w:t xml:space="preserve">&lt;32, 32-36, 37+ weeks and missing - </w:t>
      </w:r>
      <w:r w:rsidR="00AF0ABF">
        <w:rPr>
          <w:sz w:val="24"/>
          <w:szCs w:val="24"/>
        </w:rPr>
        <w:t>for referents in Wales data only),</w:t>
      </w:r>
      <w:r>
        <w:rPr>
          <w:sz w:val="24"/>
          <w:szCs w:val="24"/>
        </w:rPr>
        <w:t xml:space="preserve"> major language, </w:t>
      </w:r>
      <w:r w:rsidR="003B5C91">
        <w:rPr>
          <w:sz w:val="24"/>
          <w:szCs w:val="24"/>
        </w:rPr>
        <w:t>d</w:t>
      </w:r>
      <w:r>
        <w:rPr>
          <w:sz w:val="24"/>
          <w:szCs w:val="24"/>
        </w:rPr>
        <w:t>eprivation index</w:t>
      </w:r>
      <w:r w:rsidR="003B5C91">
        <w:rPr>
          <w:sz w:val="24"/>
          <w:szCs w:val="24"/>
        </w:rPr>
        <w:t xml:space="preserve"> (</w:t>
      </w:r>
      <w:r w:rsidR="006609F4">
        <w:rPr>
          <w:sz w:val="24"/>
          <w:szCs w:val="24"/>
        </w:rPr>
        <w:t>specified below</w:t>
      </w:r>
      <w:r w:rsidR="003B5C91">
        <w:rPr>
          <w:sz w:val="24"/>
          <w:szCs w:val="24"/>
        </w:rPr>
        <w:t>)</w:t>
      </w:r>
      <w:r w:rsidR="005638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B5C91">
        <w:rPr>
          <w:sz w:val="24"/>
          <w:szCs w:val="24"/>
        </w:rPr>
        <w:t>‘f</w:t>
      </w:r>
      <w:r w:rsidRPr="000A77B7">
        <w:rPr>
          <w:sz w:val="24"/>
          <w:szCs w:val="24"/>
        </w:rPr>
        <w:t>ree school meal eligibility</w:t>
      </w:r>
      <w:r w:rsidR="006609F4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563873">
        <w:rPr>
          <w:sz w:val="24"/>
          <w:szCs w:val="24"/>
        </w:rPr>
        <w:t xml:space="preserve">and school absence </w:t>
      </w:r>
      <w:r>
        <w:rPr>
          <w:sz w:val="24"/>
          <w:szCs w:val="24"/>
        </w:rPr>
        <w:t xml:space="preserve">by CA subgroup </w:t>
      </w:r>
      <w:r w:rsidR="0033215F">
        <w:rPr>
          <w:sz w:val="24"/>
          <w:szCs w:val="24"/>
        </w:rPr>
        <w:t xml:space="preserve">will be prepared for </w:t>
      </w:r>
      <w:r w:rsidR="006B78FB">
        <w:rPr>
          <w:sz w:val="24"/>
          <w:szCs w:val="24"/>
        </w:rPr>
        <w:t>sub</w:t>
      </w:r>
      <w:r w:rsidR="0033215F">
        <w:rPr>
          <w:sz w:val="24"/>
          <w:szCs w:val="24"/>
        </w:rPr>
        <w:t>groups where numbers permit.</w:t>
      </w:r>
    </w:p>
    <w:p w14:paraId="1C59F58B" w14:textId="4C3B83B2" w:rsidR="006C0815" w:rsidRPr="00AF51AC" w:rsidRDefault="006C0815">
      <w:pPr>
        <w:rPr>
          <w:color w:val="000000" w:themeColor="text1"/>
          <w:sz w:val="24"/>
          <w:szCs w:val="24"/>
        </w:rPr>
      </w:pPr>
      <w:bookmarkStart w:id="4" w:name="_Hlk72498704"/>
      <w:r w:rsidRPr="00E15FDA">
        <w:rPr>
          <w:b/>
          <w:bCs/>
          <w:sz w:val="24"/>
          <w:szCs w:val="24"/>
        </w:rPr>
        <w:t xml:space="preserve">KS2 </w:t>
      </w:r>
      <w:r w:rsidR="0027281A">
        <w:rPr>
          <w:b/>
          <w:bCs/>
          <w:sz w:val="24"/>
          <w:szCs w:val="24"/>
        </w:rPr>
        <w:t>–</w:t>
      </w:r>
      <w:r w:rsidRPr="00E15FDA">
        <w:rPr>
          <w:b/>
          <w:bCs/>
          <w:sz w:val="24"/>
          <w:szCs w:val="24"/>
        </w:rPr>
        <w:t xml:space="preserve"> T</w:t>
      </w:r>
      <w:r w:rsidR="0027281A">
        <w:rPr>
          <w:b/>
          <w:bCs/>
          <w:sz w:val="24"/>
          <w:szCs w:val="24"/>
        </w:rPr>
        <w:t xml:space="preserve">able </w:t>
      </w:r>
      <w:r w:rsidRPr="00E15FDA">
        <w:rPr>
          <w:b/>
          <w:bCs/>
          <w:sz w:val="24"/>
          <w:szCs w:val="24"/>
        </w:rPr>
        <w:t>B</w:t>
      </w:r>
      <w:r w:rsidRPr="006C0815">
        <w:rPr>
          <w:sz w:val="24"/>
          <w:szCs w:val="24"/>
        </w:rPr>
        <w:t xml:space="preserve">. KS2 test levels of attainment - number and percentage of children achieving level 4 </w:t>
      </w:r>
      <w:bookmarkStart w:id="5" w:name="_Hlk72498754"/>
      <w:bookmarkEnd w:id="4"/>
      <w:r w:rsidRPr="006C0815">
        <w:rPr>
          <w:sz w:val="24"/>
          <w:szCs w:val="24"/>
        </w:rPr>
        <w:t xml:space="preserve">and above (expected level) for </w:t>
      </w:r>
      <w:r w:rsidRPr="00AF51AC">
        <w:rPr>
          <w:color w:val="000000" w:themeColor="text1"/>
          <w:sz w:val="24"/>
          <w:szCs w:val="24"/>
        </w:rPr>
        <w:t xml:space="preserve">children with congenital anomalies and </w:t>
      </w:r>
      <w:r w:rsidR="00554597" w:rsidRPr="00AF51AC">
        <w:rPr>
          <w:color w:val="000000" w:themeColor="text1"/>
          <w:sz w:val="24"/>
          <w:szCs w:val="24"/>
        </w:rPr>
        <w:t>referents</w:t>
      </w:r>
      <w:r w:rsidRPr="00AF51AC">
        <w:rPr>
          <w:color w:val="000000" w:themeColor="text1"/>
          <w:sz w:val="24"/>
          <w:szCs w:val="24"/>
        </w:rPr>
        <w:t xml:space="preserve"> by </w:t>
      </w:r>
      <w:r w:rsidR="0062395F" w:rsidRPr="00AF51AC">
        <w:rPr>
          <w:color w:val="000000" w:themeColor="text1"/>
          <w:sz w:val="24"/>
          <w:szCs w:val="24"/>
        </w:rPr>
        <w:t>school subject (English</w:t>
      </w:r>
      <w:r w:rsidR="002C6D4A">
        <w:rPr>
          <w:color w:val="000000" w:themeColor="text1"/>
          <w:sz w:val="24"/>
          <w:szCs w:val="24"/>
        </w:rPr>
        <w:t>/Welsh)</w:t>
      </w:r>
      <w:r w:rsidR="0062395F" w:rsidRPr="00AF51AC">
        <w:rPr>
          <w:color w:val="000000" w:themeColor="text1"/>
          <w:sz w:val="24"/>
          <w:szCs w:val="24"/>
        </w:rPr>
        <w:t>, Maths and Science).</w:t>
      </w:r>
      <w:bookmarkEnd w:id="5"/>
    </w:p>
    <w:p w14:paraId="422D8A05" w14:textId="7A6A435D" w:rsidR="00107B70" w:rsidRDefault="00D53A44">
      <w:pPr>
        <w:rPr>
          <w:sz w:val="24"/>
          <w:szCs w:val="24"/>
        </w:rPr>
      </w:pPr>
      <w:bookmarkStart w:id="6" w:name="_Hlk72499088"/>
      <w:r w:rsidRPr="00AF51AC">
        <w:rPr>
          <w:b/>
          <w:bCs/>
          <w:color w:val="000000" w:themeColor="text1"/>
          <w:sz w:val="24"/>
          <w:szCs w:val="24"/>
        </w:rPr>
        <w:t xml:space="preserve">KS2 </w:t>
      </w:r>
      <w:r w:rsidR="0027281A" w:rsidRPr="00AF51AC">
        <w:rPr>
          <w:b/>
          <w:bCs/>
          <w:color w:val="000000" w:themeColor="text1"/>
          <w:sz w:val="24"/>
          <w:szCs w:val="24"/>
        </w:rPr>
        <w:t>–</w:t>
      </w:r>
      <w:r w:rsidRPr="00AF51AC">
        <w:rPr>
          <w:b/>
          <w:bCs/>
          <w:color w:val="000000" w:themeColor="text1"/>
          <w:sz w:val="24"/>
          <w:szCs w:val="24"/>
        </w:rPr>
        <w:t xml:space="preserve"> T</w:t>
      </w:r>
      <w:r w:rsidR="0027281A" w:rsidRPr="00AF51AC">
        <w:rPr>
          <w:b/>
          <w:bCs/>
          <w:color w:val="000000" w:themeColor="text1"/>
          <w:sz w:val="24"/>
          <w:szCs w:val="24"/>
        </w:rPr>
        <w:t xml:space="preserve">able </w:t>
      </w:r>
      <w:r w:rsidRPr="00AF51AC">
        <w:rPr>
          <w:b/>
          <w:bCs/>
          <w:color w:val="000000" w:themeColor="text1"/>
          <w:sz w:val="24"/>
          <w:szCs w:val="24"/>
        </w:rPr>
        <w:t>C</w:t>
      </w:r>
      <w:r w:rsidRPr="00AF51AC">
        <w:rPr>
          <w:color w:val="000000" w:themeColor="text1"/>
          <w:sz w:val="24"/>
          <w:szCs w:val="24"/>
        </w:rPr>
        <w:t>. KS2 results - 1) Unadjusted and 2)</w:t>
      </w:r>
      <w:r w:rsidR="00987A30">
        <w:rPr>
          <w:color w:val="000000" w:themeColor="text1"/>
          <w:sz w:val="24"/>
          <w:szCs w:val="24"/>
        </w:rPr>
        <w:t>,</w:t>
      </w:r>
      <w:r w:rsidR="0004185F" w:rsidRPr="00AF51AC">
        <w:rPr>
          <w:color w:val="000000" w:themeColor="text1"/>
          <w:sz w:val="24"/>
          <w:szCs w:val="24"/>
        </w:rPr>
        <w:t xml:space="preserve"> 3)</w:t>
      </w:r>
      <w:r w:rsidRPr="00AF51AC">
        <w:rPr>
          <w:color w:val="000000" w:themeColor="text1"/>
          <w:sz w:val="24"/>
          <w:szCs w:val="24"/>
        </w:rPr>
        <w:t xml:space="preserve"> </w:t>
      </w:r>
      <w:r w:rsidR="00987A30">
        <w:rPr>
          <w:color w:val="000000" w:themeColor="text1"/>
          <w:sz w:val="24"/>
          <w:szCs w:val="24"/>
        </w:rPr>
        <w:t xml:space="preserve">and 4) </w:t>
      </w:r>
      <w:r w:rsidRPr="00AF51AC">
        <w:rPr>
          <w:color w:val="000000" w:themeColor="text1"/>
          <w:sz w:val="24"/>
          <w:szCs w:val="24"/>
        </w:rPr>
        <w:t xml:space="preserve">Adjusted ORs of achieving level 4 and above (expected level) by </w:t>
      </w:r>
      <w:r w:rsidR="00DC61E8" w:rsidRPr="00AF51AC">
        <w:rPr>
          <w:color w:val="000000" w:themeColor="text1"/>
          <w:sz w:val="24"/>
          <w:szCs w:val="24"/>
        </w:rPr>
        <w:t xml:space="preserve">school </w:t>
      </w:r>
      <w:r w:rsidRPr="00AF51AC">
        <w:rPr>
          <w:color w:val="000000" w:themeColor="text1"/>
          <w:sz w:val="24"/>
          <w:szCs w:val="24"/>
        </w:rPr>
        <w:t xml:space="preserve">subject </w:t>
      </w:r>
      <w:r w:rsidRPr="00D53A44">
        <w:rPr>
          <w:sz w:val="24"/>
          <w:szCs w:val="24"/>
        </w:rPr>
        <w:t xml:space="preserve">(measured by test) - </w:t>
      </w:r>
      <w:r w:rsidRPr="00D53A44">
        <w:rPr>
          <w:color w:val="0000FF"/>
          <w:sz w:val="24"/>
          <w:szCs w:val="24"/>
        </w:rPr>
        <w:t xml:space="preserve">for children with congenital anomalies versus </w:t>
      </w:r>
      <w:r w:rsidR="00B17A83">
        <w:rPr>
          <w:color w:val="0000FF"/>
          <w:sz w:val="24"/>
          <w:szCs w:val="24"/>
        </w:rPr>
        <w:t>referents</w:t>
      </w:r>
      <w:r w:rsidRPr="00D53A44">
        <w:rPr>
          <w:sz w:val="24"/>
          <w:szCs w:val="24"/>
        </w:rPr>
        <w:t xml:space="preserve"> - logistic regression results</w:t>
      </w:r>
      <w:r w:rsidR="00784C7D">
        <w:rPr>
          <w:sz w:val="24"/>
          <w:szCs w:val="24"/>
        </w:rPr>
        <w:t>.</w:t>
      </w:r>
    </w:p>
    <w:p w14:paraId="6814C851" w14:textId="77777777" w:rsidR="00050958" w:rsidRPr="00D527F4" w:rsidRDefault="00050958" w:rsidP="00050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27F4">
        <w:rPr>
          <w:sz w:val="24"/>
          <w:szCs w:val="24"/>
        </w:rPr>
        <w:t>Unad</w:t>
      </w:r>
      <w:r>
        <w:rPr>
          <w:sz w:val="24"/>
          <w:szCs w:val="24"/>
        </w:rPr>
        <w:t>j</w:t>
      </w:r>
      <w:r w:rsidRPr="00D527F4">
        <w:rPr>
          <w:sz w:val="24"/>
          <w:szCs w:val="24"/>
        </w:rPr>
        <w:t>usted</w:t>
      </w:r>
    </w:p>
    <w:p w14:paraId="0055B7DA" w14:textId="7A4D240F" w:rsidR="0004185F" w:rsidRDefault="00050958" w:rsidP="00050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27F4">
        <w:rPr>
          <w:sz w:val="24"/>
          <w:szCs w:val="24"/>
        </w:rPr>
        <w:t>Adjusted for Free school meal eligibility</w:t>
      </w:r>
      <w:r w:rsidR="00746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(FSME – yes/no) </w:t>
      </w:r>
    </w:p>
    <w:p w14:paraId="737AD34D" w14:textId="6C10E97A" w:rsidR="00050958" w:rsidRDefault="0004185F" w:rsidP="00050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27F4">
        <w:rPr>
          <w:sz w:val="24"/>
          <w:szCs w:val="24"/>
        </w:rPr>
        <w:t xml:space="preserve">Adjusted for </w:t>
      </w:r>
      <w:r w:rsidR="00050958" w:rsidRPr="00EA1904">
        <w:rPr>
          <w:sz w:val="24"/>
          <w:szCs w:val="24"/>
        </w:rPr>
        <w:t xml:space="preserve">deprivation index (NPD </w:t>
      </w:r>
      <w:bookmarkStart w:id="7" w:name="_Hlk72500649"/>
      <w:r w:rsidR="007C4149" w:rsidRPr="007C4149">
        <w:rPr>
          <w:sz w:val="24"/>
          <w:szCs w:val="24"/>
        </w:rPr>
        <w:t xml:space="preserve">Income Deprivation Affecting Children Indices </w:t>
      </w:r>
      <w:bookmarkEnd w:id="7"/>
      <w:r w:rsidR="00946241">
        <w:rPr>
          <w:sz w:val="24"/>
          <w:szCs w:val="24"/>
        </w:rPr>
        <w:t>(</w:t>
      </w:r>
      <w:r w:rsidR="00050958" w:rsidRPr="00EA1904">
        <w:rPr>
          <w:sz w:val="24"/>
          <w:szCs w:val="24"/>
        </w:rPr>
        <w:t>IDACI</w:t>
      </w:r>
      <w:r w:rsidR="007C4149">
        <w:rPr>
          <w:sz w:val="24"/>
          <w:szCs w:val="24"/>
        </w:rPr>
        <w:t xml:space="preserve">) </w:t>
      </w:r>
      <w:proofErr w:type="spellStart"/>
      <w:r w:rsidR="0065273F">
        <w:rPr>
          <w:sz w:val="24"/>
          <w:szCs w:val="24"/>
        </w:rPr>
        <w:t>tertil</w:t>
      </w:r>
      <w:r w:rsidR="00946241">
        <w:rPr>
          <w:sz w:val="24"/>
          <w:szCs w:val="24"/>
        </w:rPr>
        <w:t>e</w:t>
      </w:r>
      <w:r w:rsidR="003D260C">
        <w:rPr>
          <w:sz w:val="24"/>
          <w:szCs w:val="24"/>
        </w:rPr>
        <w:t>s</w:t>
      </w:r>
      <w:proofErr w:type="spellEnd"/>
      <w:r w:rsidR="0065273F">
        <w:rPr>
          <w:sz w:val="24"/>
          <w:szCs w:val="24"/>
        </w:rPr>
        <w:t xml:space="preserve"> </w:t>
      </w:r>
      <w:r w:rsidR="00050958" w:rsidRPr="00EA1904">
        <w:rPr>
          <w:sz w:val="24"/>
          <w:szCs w:val="24"/>
        </w:rPr>
        <w:t>or SAIL WIMD</w:t>
      </w:r>
      <w:r w:rsidR="00111EB2">
        <w:rPr>
          <w:sz w:val="24"/>
          <w:szCs w:val="24"/>
        </w:rPr>
        <w:t xml:space="preserve"> quintile</w:t>
      </w:r>
      <w:r w:rsidR="003D260C">
        <w:rPr>
          <w:sz w:val="24"/>
          <w:szCs w:val="24"/>
        </w:rPr>
        <w:t>s</w:t>
      </w:r>
      <w:r w:rsidR="005311EE">
        <w:rPr>
          <w:sz w:val="24"/>
          <w:szCs w:val="24"/>
        </w:rPr>
        <w:t xml:space="preserve"> and </w:t>
      </w:r>
      <w:r w:rsidR="00245756">
        <w:rPr>
          <w:sz w:val="24"/>
          <w:szCs w:val="24"/>
        </w:rPr>
        <w:t>Welsh lower super output area (</w:t>
      </w:r>
      <w:r w:rsidR="00245756" w:rsidRPr="00245756">
        <w:rPr>
          <w:sz w:val="24"/>
          <w:szCs w:val="24"/>
        </w:rPr>
        <w:t>LSOA</w:t>
      </w:r>
      <w:r w:rsidR="00245756">
        <w:rPr>
          <w:sz w:val="24"/>
          <w:szCs w:val="24"/>
        </w:rPr>
        <w:t>)</w:t>
      </w:r>
      <w:r w:rsidR="00245756" w:rsidRPr="00245756">
        <w:rPr>
          <w:sz w:val="24"/>
          <w:szCs w:val="24"/>
        </w:rPr>
        <w:t xml:space="preserve"> Townsend deprivation scores</w:t>
      </w:r>
      <w:r w:rsidR="00111EB2">
        <w:rPr>
          <w:sz w:val="24"/>
          <w:szCs w:val="24"/>
        </w:rPr>
        <w:t xml:space="preserve"> and ranks</w:t>
      </w:r>
      <w:r w:rsidR="00EF60A0">
        <w:rPr>
          <w:sz w:val="24"/>
          <w:szCs w:val="24"/>
        </w:rPr>
        <w:t>,</w:t>
      </w:r>
      <w:r w:rsidR="00195665">
        <w:rPr>
          <w:sz w:val="24"/>
          <w:szCs w:val="24"/>
        </w:rPr>
        <w:fldChar w:fldCharType="begin"/>
      </w:r>
      <w:r w:rsidR="00195665">
        <w:rPr>
          <w:sz w:val="24"/>
          <w:szCs w:val="24"/>
        </w:rPr>
        <w:instrText xml:space="preserve"> ADDIN EN.CITE &lt;EndNote&gt;&lt;Cite&gt;&lt;Author&gt;Gartner&lt;/Author&gt;&lt;Year&gt;2008&lt;/Year&gt;&lt;RecNum&gt;30&lt;/RecNum&gt;&lt;DisplayText&gt;&lt;style face="superscript"&gt;3,4&lt;/style&gt;&lt;/DisplayText&gt;&lt;record&gt;&lt;rec-number&gt;30&lt;/rec-number&gt;&lt;foreign-keys&gt;&lt;key app="EN" db-id="pp90f0a5e9fvsleaxpdvdte0x0pp0atfxsdw" timestamp="1618332579"&gt;30&lt;/key&gt;&lt;/foreign-keys&gt;&lt;ref-type name="Web Page"&gt;12&lt;/ref-type&gt;&lt;contributors&gt;&lt;authors&gt;&lt;author&gt;Gartner, A.&lt;/author&gt;&lt;author&gt;Lester, N.&lt;/author&gt;&lt;/authors&gt;&lt;/contributors&gt;&lt;titles&gt;&lt;title&gt;Briefing paper on LSOA Townsend deprivation scores calculated from unadjusted Census data&lt;/title&gt;&lt;/titles&gt;&lt;number&gt;09/03/2021&lt;/number&gt;&lt;dates&gt;&lt;year&gt;2008&lt;/year&gt;&lt;/dates&gt;&lt;urls&gt;&lt;related-urls&gt;&lt;url&gt;http://www2.nphs.wales.nhs.uk:8080/hiatdocs.nsf/85c50756737f79ac80256f2700534ea3/17fdbca9920051368025772f003b5a35/$FILE/TownsendBriefing.pdf&lt;/url&gt;&lt;/related-urls&gt;&lt;/urls&gt;&lt;/record&gt;&lt;/Cite&gt;&lt;Cite&gt;&lt;Author&gt;Townsend&lt;/Author&gt;&lt;Year&gt;1988&lt;/Year&gt;&lt;RecNum&gt;31&lt;/RecNum&gt;&lt;record&gt;&lt;rec-number&gt;31&lt;/rec-number&gt;&lt;foreign-keys&gt;&lt;key app="EN" db-id="pp90f0a5e9fvsleaxpdvdte0x0pp0atfxsdw" timestamp="1618332806"&gt;31&lt;/key&gt;&lt;/foreign-keys&gt;&lt;ref-type name="Book"&gt;6&lt;/ref-type&gt;&lt;contributors&gt;&lt;authors&gt;&lt;author&gt;Townsend, P.&lt;/author&gt;&lt;author&gt;Phillimore, P.&lt;/author&gt;&lt;author&gt;Beattie, A.&lt;/author&gt;&lt;/authors&gt;&lt;/contributors&gt;&lt;titles&gt;&lt;title&gt;Health and Deprivation: Inequality and the North&lt;/title&gt;&lt;/titles&gt;&lt;dates&gt;&lt;year&gt;1988&lt;/year&gt;&lt;/dates&gt;&lt;pub-location&gt;London&lt;/pub-location&gt;&lt;publisher&gt;Routledge&lt;/publisher&gt;&lt;urls&gt;&lt;/urls&gt;&lt;/record&gt;&lt;/Cite&gt;&lt;/EndNote&gt;</w:instrText>
      </w:r>
      <w:r w:rsidR="00195665">
        <w:rPr>
          <w:sz w:val="24"/>
          <w:szCs w:val="24"/>
        </w:rPr>
        <w:fldChar w:fldCharType="separate"/>
      </w:r>
      <w:r w:rsidR="00195665" w:rsidRPr="00195665">
        <w:rPr>
          <w:noProof/>
          <w:sz w:val="24"/>
          <w:szCs w:val="24"/>
          <w:vertAlign w:val="superscript"/>
        </w:rPr>
        <w:t>3,4</w:t>
      </w:r>
      <w:r w:rsidR="00195665">
        <w:rPr>
          <w:sz w:val="24"/>
          <w:szCs w:val="24"/>
        </w:rPr>
        <w:fldChar w:fldCharType="end"/>
      </w:r>
      <w:r w:rsidR="00245756">
        <w:rPr>
          <w:sz w:val="24"/>
          <w:szCs w:val="24"/>
        </w:rPr>
        <w:t xml:space="preserve"> </w:t>
      </w:r>
      <w:r w:rsidR="00EF60A0">
        <w:rPr>
          <w:sz w:val="24"/>
          <w:szCs w:val="24"/>
        </w:rPr>
        <w:t xml:space="preserve">birth year </w:t>
      </w:r>
      <w:r w:rsidR="00760919">
        <w:rPr>
          <w:sz w:val="24"/>
          <w:szCs w:val="24"/>
        </w:rPr>
        <w:t xml:space="preserve">and gestational age </w:t>
      </w:r>
      <w:r w:rsidR="0076337F">
        <w:rPr>
          <w:sz w:val="24"/>
          <w:szCs w:val="24"/>
        </w:rPr>
        <w:t xml:space="preserve">(GA) </w:t>
      </w:r>
      <w:r w:rsidR="00760919">
        <w:rPr>
          <w:sz w:val="24"/>
          <w:szCs w:val="24"/>
        </w:rPr>
        <w:t>group (</w:t>
      </w:r>
      <w:r w:rsidR="0076337F">
        <w:rPr>
          <w:sz w:val="24"/>
          <w:szCs w:val="24"/>
        </w:rPr>
        <w:t xml:space="preserve">birth year and GA group </w:t>
      </w:r>
      <w:r w:rsidR="00760919">
        <w:rPr>
          <w:sz w:val="24"/>
          <w:szCs w:val="24"/>
        </w:rPr>
        <w:t>for Wales only)</w:t>
      </w:r>
    </w:p>
    <w:p w14:paraId="5FD9E355" w14:textId="65EE2BC6" w:rsidR="00563873" w:rsidRPr="00EA1904" w:rsidRDefault="00563873" w:rsidP="000509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Adjusted for school absence</w:t>
      </w:r>
    </w:p>
    <w:bookmarkEnd w:id="6"/>
    <w:p w14:paraId="4A091826" w14:textId="165A664F" w:rsidR="00050958" w:rsidRPr="00050958" w:rsidRDefault="00050958" w:rsidP="00050958">
      <w:pPr>
        <w:rPr>
          <w:sz w:val="24"/>
          <w:szCs w:val="24"/>
        </w:rPr>
      </w:pPr>
      <w:r w:rsidRPr="00050958">
        <w:rPr>
          <w:sz w:val="24"/>
          <w:szCs w:val="24"/>
        </w:rPr>
        <w:t>The first analysis (1) will show if the</w:t>
      </w:r>
      <w:r w:rsidR="00945AA5">
        <w:rPr>
          <w:sz w:val="24"/>
          <w:szCs w:val="24"/>
        </w:rPr>
        <w:t xml:space="preserve"> unadjusted</w:t>
      </w:r>
      <w:r w:rsidRPr="00050958">
        <w:rPr>
          <w:sz w:val="24"/>
          <w:szCs w:val="24"/>
        </w:rPr>
        <w:t xml:space="preserve"> odds </w:t>
      </w:r>
      <w:r w:rsidR="00945AA5">
        <w:rPr>
          <w:sz w:val="24"/>
          <w:szCs w:val="24"/>
        </w:rPr>
        <w:t xml:space="preserve">ratio </w:t>
      </w:r>
      <w:r w:rsidRPr="00050958">
        <w:rPr>
          <w:sz w:val="24"/>
          <w:szCs w:val="24"/>
        </w:rPr>
        <w:t xml:space="preserve">of achieving level 4 and above (expected level) by </w:t>
      </w:r>
      <w:r w:rsidR="0062395F">
        <w:rPr>
          <w:sz w:val="24"/>
          <w:szCs w:val="24"/>
        </w:rPr>
        <w:t xml:space="preserve">school </w:t>
      </w:r>
      <w:r w:rsidRPr="00050958">
        <w:rPr>
          <w:sz w:val="24"/>
          <w:szCs w:val="24"/>
        </w:rPr>
        <w:t>subject</w:t>
      </w:r>
      <w:r w:rsidR="0062395F">
        <w:rPr>
          <w:sz w:val="24"/>
          <w:szCs w:val="24"/>
        </w:rPr>
        <w:t xml:space="preserve"> (English, Maths and Science)</w:t>
      </w:r>
      <w:r w:rsidRPr="00050958">
        <w:rPr>
          <w:sz w:val="24"/>
          <w:szCs w:val="24"/>
        </w:rPr>
        <w:t xml:space="preserve"> (measured by test) differ between children with a CA (by CA subgroup) and </w:t>
      </w:r>
      <w:r w:rsidR="00945AA5">
        <w:rPr>
          <w:sz w:val="24"/>
          <w:szCs w:val="24"/>
        </w:rPr>
        <w:t>referents</w:t>
      </w:r>
      <w:r w:rsidRPr="00050958">
        <w:rPr>
          <w:sz w:val="24"/>
          <w:szCs w:val="24"/>
        </w:rPr>
        <w:t>.</w:t>
      </w:r>
    </w:p>
    <w:p w14:paraId="59F056AD" w14:textId="18CF19C8" w:rsidR="00050958" w:rsidRPr="00050958" w:rsidRDefault="00050958" w:rsidP="00050958">
      <w:pPr>
        <w:rPr>
          <w:sz w:val="24"/>
          <w:szCs w:val="24"/>
        </w:rPr>
      </w:pPr>
      <w:r w:rsidRPr="00050958">
        <w:rPr>
          <w:sz w:val="24"/>
          <w:szCs w:val="24"/>
        </w:rPr>
        <w:t xml:space="preserve">The second </w:t>
      </w:r>
      <w:r w:rsidR="000563FC">
        <w:rPr>
          <w:sz w:val="24"/>
          <w:szCs w:val="24"/>
        </w:rPr>
        <w:t>(2)</w:t>
      </w:r>
      <w:r w:rsidR="00612F2D">
        <w:rPr>
          <w:sz w:val="24"/>
          <w:szCs w:val="24"/>
        </w:rPr>
        <w:t xml:space="preserve">, </w:t>
      </w:r>
      <w:r w:rsidR="000563FC">
        <w:rPr>
          <w:sz w:val="24"/>
          <w:szCs w:val="24"/>
        </w:rPr>
        <w:t xml:space="preserve">third (3) </w:t>
      </w:r>
      <w:r w:rsidR="00563873">
        <w:rPr>
          <w:sz w:val="24"/>
          <w:szCs w:val="24"/>
        </w:rPr>
        <w:t xml:space="preserve">and fourth (4) </w:t>
      </w:r>
      <w:r w:rsidR="00945AA5">
        <w:rPr>
          <w:sz w:val="24"/>
          <w:szCs w:val="24"/>
        </w:rPr>
        <w:t>analyses</w:t>
      </w:r>
      <w:r w:rsidRPr="00050958">
        <w:rPr>
          <w:sz w:val="24"/>
          <w:szCs w:val="24"/>
        </w:rPr>
        <w:t xml:space="preserve"> will show if the results in Table 1 change when adjusted for deprivation indicator</w:t>
      </w:r>
      <w:r>
        <w:rPr>
          <w:sz w:val="24"/>
          <w:szCs w:val="24"/>
        </w:rPr>
        <w:t>s</w:t>
      </w:r>
      <w:r w:rsidRPr="00050958">
        <w:rPr>
          <w:sz w:val="24"/>
          <w:szCs w:val="24"/>
        </w:rPr>
        <w:t xml:space="preserve"> (FSME </w:t>
      </w:r>
      <w:r w:rsidR="00245756">
        <w:rPr>
          <w:sz w:val="24"/>
          <w:szCs w:val="24"/>
        </w:rPr>
        <w:t xml:space="preserve">and </w:t>
      </w:r>
      <w:r w:rsidR="00245756" w:rsidRPr="00EA1904">
        <w:rPr>
          <w:sz w:val="24"/>
          <w:szCs w:val="24"/>
        </w:rPr>
        <w:t>IDACI</w:t>
      </w:r>
      <w:r w:rsidR="00245756">
        <w:rPr>
          <w:sz w:val="24"/>
          <w:szCs w:val="24"/>
        </w:rPr>
        <w:t xml:space="preserve"> </w:t>
      </w:r>
      <w:r w:rsidR="00DC61E8">
        <w:rPr>
          <w:sz w:val="24"/>
          <w:szCs w:val="24"/>
        </w:rPr>
        <w:t>for</w:t>
      </w:r>
      <w:r w:rsidR="00245756">
        <w:rPr>
          <w:sz w:val="24"/>
          <w:szCs w:val="24"/>
        </w:rPr>
        <w:t xml:space="preserve"> England or </w:t>
      </w:r>
      <w:r w:rsidRPr="00050958">
        <w:rPr>
          <w:sz w:val="24"/>
          <w:szCs w:val="24"/>
        </w:rPr>
        <w:t>WIMD/</w:t>
      </w:r>
      <w:r w:rsidR="00245756">
        <w:rPr>
          <w:sz w:val="24"/>
          <w:szCs w:val="24"/>
        </w:rPr>
        <w:t xml:space="preserve">Townsend score </w:t>
      </w:r>
      <w:r w:rsidR="00DC61E8">
        <w:rPr>
          <w:sz w:val="24"/>
          <w:szCs w:val="24"/>
        </w:rPr>
        <w:t xml:space="preserve">for </w:t>
      </w:r>
      <w:r w:rsidR="00245756">
        <w:rPr>
          <w:sz w:val="24"/>
          <w:szCs w:val="24"/>
        </w:rPr>
        <w:t>Wales</w:t>
      </w:r>
      <w:r>
        <w:rPr>
          <w:sz w:val="24"/>
          <w:szCs w:val="24"/>
        </w:rPr>
        <w:t>)</w:t>
      </w:r>
      <w:r w:rsidR="00612F2D">
        <w:rPr>
          <w:sz w:val="24"/>
          <w:szCs w:val="24"/>
        </w:rPr>
        <w:t xml:space="preserve">, </w:t>
      </w:r>
      <w:r w:rsidR="00563873">
        <w:rPr>
          <w:sz w:val="24"/>
          <w:szCs w:val="24"/>
        </w:rPr>
        <w:t xml:space="preserve">school absence </w:t>
      </w:r>
      <w:r w:rsidR="00CE0CD0">
        <w:rPr>
          <w:sz w:val="24"/>
          <w:szCs w:val="24"/>
        </w:rPr>
        <w:t>and other variables specified</w:t>
      </w:r>
      <w:r w:rsidR="00B270A1">
        <w:rPr>
          <w:sz w:val="24"/>
          <w:szCs w:val="24"/>
        </w:rPr>
        <w:t xml:space="preserve"> for Wales</w:t>
      </w:r>
      <w:r w:rsidRPr="00050958">
        <w:rPr>
          <w:sz w:val="24"/>
          <w:szCs w:val="24"/>
        </w:rPr>
        <w:t>.</w:t>
      </w:r>
    </w:p>
    <w:p w14:paraId="743A01C3" w14:textId="77777777" w:rsidR="00050958" w:rsidRDefault="00050958">
      <w:pPr>
        <w:rPr>
          <w:b/>
          <w:bCs/>
          <w:sz w:val="24"/>
          <w:szCs w:val="24"/>
        </w:rPr>
      </w:pPr>
    </w:p>
    <w:p w14:paraId="70628AA7" w14:textId="75D1EFF9" w:rsidR="00B01472" w:rsidRPr="005D69F0" w:rsidRDefault="00B01472" w:rsidP="00B01472">
      <w:pPr>
        <w:rPr>
          <w:sz w:val="24"/>
          <w:szCs w:val="24"/>
        </w:rPr>
      </w:pPr>
      <w:r w:rsidRPr="009A08D7">
        <w:rPr>
          <w:color w:val="0000FF"/>
          <w:sz w:val="24"/>
          <w:szCs w:val="24"/>
        </w:rPr>
        <w:t xml:space="preserve">The analyses below should be performed on children with CAs only to </w:t>
      </w:r>
      <w:r>
        <w:rPr>
          <w:sz w:val="24"/>
          <w:szCs w:val="24"/>
        </w:rPr>
        <w:t>investigate the effect of risk factors on the association between a specific CA and KS</w:t>
      </w:r>
      <w:r w:rsidR="006D7102">
        <w:rPr>
          <w:sz w:val="24"/>
          <w:szCs w:val="24"/>
        </w:rPr>
        <w:t>2</w:t>
      </w:r>
      <w:r>
        <w:rPr>
          <w:sz w:val="24"/>
          <w:szCs w:val="24"/>
        </w:rPr>
        <w:t xml:space="preserve"> results</w:t>
      </w:r>
      <w:r w:rsidR="006D7102">
        <w:rPr>
          <w:sz w:val="24"/>
          <w:szCs w:val="24"/>
        </w:rPr>
        <w:t xml:space="preserve"> for an individual </w:t>
      </w:r>
      <w:r w:rsidR="0027281A">
        <w:rPr>
          <w:sz w:val="24"/>
          <w:szCs w:val="24"/>
        </w:rPr>
        <w:t xml:space="preserve">school </w:t>
      </w:r>
      <w:r w:rsidR="006D7102">
        <w:rPr>
          <w:sz w:val="24"/>
          <w:szCs w:val="24"/>
        </w:rPr>
        <w:t xml:space="preserve">subject, </w:t>
      </w:r>
      <w:proofErr w:type="gramStart"/>
      <w:r w:rsidR="006D7102">
        <w:rPr>
          <w:sz w:val="24"/>
          <w:szCs w:val="24"/>
        </w:rPr>
        <w:t>i.e.</w:t>
      </w:r>
      <w:proofErr w:type="gramEnd"/>
      <w:r w:rsidR="006D7102">
        <w:rPr>
          <w:sz w:val="24"/>
          <w:szCs w:val="24"/>
        </w:rPr>
        <w:t xml:space="preserve"> 1) English</w:t>
      </w:r>
      <w:r w:rsidR="00BF1D8C">
        <w:rPr>
          <w:sz w:val="24"/>
          <w:szCs w:val="24"/>
        </w:rPr>
        <w:t xml:space="preserve">/Welsh </w:t>
      </w:r>
      <w:r w:rsidR="006D7102">
        <w:rPr>
          <w:sz w:val="24"/>
          <w:szCs w:val="24"/>
        </w:rPr>
        <w:t>(KS2- T</w:t>
      </w:r>
      <w:r w:rsidR="0027281A">
        <w:rPr>
          <w:sz w:val="24"/>
          <w:szCs w:val="24"/>
        </w:rPr>
        <w:t xml:space="preserve">able </w:t>
      </w:r>
      <w:r w:rsidR="006D7102">
        <w:rPr>
          <w:sz w:val="24"/>
          <w:szCs w:val="24"/>
        </w:rPr>
        <w:t>D), 2) Mathematics (KS2 – T</w:t>
      </w:r>
      <w:r w:rsidR="0027281A">
        <w:rPr>
          <w:sz w:val="24"/>
          <w:szCs w:val="24"/>
        </w:rPr>
        <w:t xml:space="preserve">able </w:t>
      </w:r>
      <w:r w:rsidR="006D7102">
        <w:rPr>
          <w:sz w:val="24"/>
          <w:szCs w:val="24"/>
        </w:rPr>
        <w:t>E) and 3) Science (KS2 – T</w:t>
      </w:r>
      <w:r w:rsidR="0027281A">
        <w:rPr>
          <w:sz w:val="24"/>
          <w:szCs w:val="24"/>
        </w:rPr>
        <w:t xml:space="preserve">able </w:t>
      </w:r>
      <w:r w:rsidR="006D7102">
        <w:rPr>
          <w:sz w:val="24"/>
          <w:szCs w:val="24"/>
        </w:rPr>
        <w:t>F).</w:t>
      </w:r>
      <w:r w:rsidR="007C52A9">
        <w:rPr>
          <w:sz w:val="24"/>
          <w:szCs w:val="24"/>
        </w:rPr>
        <w:t xml:space="preserve"> Both the crude ORs (in the univariate analysis) and adjusted ORs </w:t>
      </w:r>
      <w:r w:rsidR="007C52A9">
        <w:rPr>
          <w:sz w:val="24"/>
          <w:szCs w:val="24"/>
        </w:rPr>
        <w:lastRenderedPageBreak/>
        <w:t xml:space="preserve">(from </w:t>
      </w:r>
      <w:r w:rsidR="007C52A9">
        <w:t>multivaria</w:t>
      </w:r>
      <w:r w:rsidR="00BF1D8C">
        <w:t>te</w:t>
      </w:r>
      <w:r w:rsidR="007C52A9">
        <w:t xml:space="preserve"> models) </w:t>
      </w:r>
      <w:r w:rsidR="007C52A9">
        <w:rPr>
          <w:sz w:val="24"/>
          <w:szCs w:val="24"/>
        </w:rPr>
        <w:t xml:space="preserve">will be presented for each factor. Either FSME or IMD </w:t>
      </w:r>
      <w:r w:rsidR="00D648E2">
        <w:rPr>
          <w:sz w:val="24"/>
          <w:szCs w:val="24"/>
        </w:rPr>
        <w:t xml:space="preserve">(depending on the results of the univariate analysis) </w:t>
      </w:r>
      <w:r w:rsidR="007C52A9">
        <w:rPr>
          <w:sz w:val="24"/>
          <w:szCs w:val="24"/>
        </w:rPr>
        <w:t xml:space="preserve">should be included in the </w:t>
      </w:r>
      <w:r w:rsidR="00D648E2">
        <w:t>multivariable model.</w:t>
      </w:r>
    </w:p>
    <w:p w14:paraId="0F6E0967" w14:textId="6B60376D" w:rsidR="00B01472" w:rsidRPr="0076337F" w:rsidRDefault="00552D0A">
      <w:pPr>
        <w:rPr>
          <w:sz w:val="24"/>
          <w:szCs w:val="24"/>
        </w:rPr>
      </w:pPr>
      <w:bookmarkStart w:id="8" w:name="_Hlk72489096"/>
      <w:r w:rsidRPr="0076337F">
        <w:rPr>
          <w:sz w:val="24"/>
          <w:szCs w:val="24"/>
        </w:rPr>
        <w:t>Due to expected small numbers for some specific CA subgroups</w:t>
      </w:r>
      <w:r w:rsidR="0076337F" w:rsidRPr="0076337F">
        <w:rPr>
          <w:sz w:val="24"/>
          <w:szCs w:val="24"/>
        </w:rPr>
        <w:t>,</w:t>
      </w:r>
      <w:r w:rsidR="008773C0" w:rsidRPr="0076337F">
        <w:rPr>
          <w:sz w:val="24"/>
          <w:szCs w:val="24"/>
        </w:rPr>
        <w:t xml:space="preserve"> </w:t>
      </w:r>
      <w:r w:rsidR="008773C0" w:rsidRPr="006B78FB">
        <w:rPr>
          <w:sz w:val="24"/>
          <w:szCs w:val="24"/>
        </w:rPr>
        <w:t>this analysis may be possible for the most common CA subgroups only (</w:t>
      </w:r>
      <w:proofErr w:type="gramStart"/>
      <w:r w:rsidR="008773C0" w:rsidRPr="006B78FB">
        <w:rPr>
          <w:sz w:val="24"/>
          <w:szCs w:val="24"/>
        </w:rPr>
        <w:t>e.g.</w:t>
      </w:r>
      <w:proofErr w:type="gramEnd"/>
      <w:r w:rsidR="008773C0" w:rsidRPr="006B78FB">
        <w:rPr>
          <w:sz w:val="24"/>
          <w:szCs w:val="24"/>
        </w:rPr>
        <w:t xml:space="preserve"> all CHD, </w:t>
      </w:r>
      <w:r w:rsidR="00195665" w:rsidRPr="006B78FB">
        <w:rPr>
          <w:sz w:val="24"/>
          <w:szCs w:val="24"/>
        </w:rPr>
        <w:t>severe CHD</w:t>
      </w:r>
      <w:r w:rsidR="008773C0" w:rsidRPr="006B78FB">
        <w:rPr>
          <w:sz w:val="24"/>
          <w:szCs w:val="24"/>
        </w:rPr>
        <w:t>, orofacial clefts, Down syndrome</w:t>
      </w:r>
      <w:r w:rsidR="00B14D6C" w:rsidRPr="006B78FB">
        <w:rPr>
          <w:sz w:val="24"/>
          <w:szCs w:val="24"/>
        </w:rPr>
        <w:t xml:space="preserve"> (any)</w:t>
      </w:r>
      <w:r w:rsidR="008773C0" w:rsidRPr="006B78FB">
        <w:rPr>
          <w:sz w:val="24"/>
          <w:szCs w:val="24"/>
        </w:rPr>
        <w:t>).</w:t>
      </w:r>
    </w:p>
    <w:bookmarkEnd w:id="8"/>
    <w:p w14:paraId="0B6B7B14" w14:textId="77777777" w:rsidR="00784C7D" w:rsidRDefault="00050958">
      <w:pPr>
        <w:rPr>
          <w:sz w:val="24"/>
          <w:szCs w:val="24"/>
        </w:rPr>
      </w:pPr>
      <w:r w:rsidRPr="00050958">
        <w:rPr>
          <w:b/>
          <w:bCs/>
          <w:sz w:val="24"/>
          <w:szCs w:val="24"/>
        </w:rPr>
        <w:t xml:space="preserve">KS2 </w:t>
      </w:r>
      <w:r w:rsidR="0027281A">
        <w:rPr>
          <w:b/>
          <w:bCs/>
          <w:sz w:val="24"/>
          <w:szCs w:val="24"/>
        </w:rPr>
        <w:t>–</w:t>
      </w:r>
      <w:r w:rsidRPr="00050958">
        <w:rPr>
          <w:b/>
          <w:bCs/>
          <w:sz w:val="24"/>
          <w:szCs w:val="24"/>
        </w:rPr>
        <w:t xml:space="preserve"> T</w:t>
      </w:r>
      <w:r w:rsidR="0027281A">
        <w:rPr>
          <w:b/>
          <w:bCs/>
          <w:sz w:val="24"/>
          <w:szCs w:val="24"/>
        </w:rPr>
        <w:t xml:space="preserve">able </w:t>
      </w:r>
      <w:r w:rsidRPr="00050958">
        <w:rPr>
          <w:b/>
          <w:bCs/>
          <w:sz w:val="24"/>
          <w:szCs w:val="24"/>
        </w:rPr>
        <w:t>D.</w:t>
      </w:r>
      <w:r w:rsidRPr="00050958">
        <w:rPr>
          <w:sz w:val="24"/>
          <w:szCs w:val="24"/>
        </w:rPr>
        <w:t xml:space="preserve"> Logistic regression results on the association between sociodemographic factors and KS2 results (achieving level 4 or above (expected level)) for </w:t>
      </w:r>
      <w:r w:rsidRPr="0027281A">
        <w:rPr>
          <w:i/>
          <w:iCs/>
          <w:sz w:val="24"/>
          <w:szCs w:val="24"/>
        </w:rPr>
        <w:t xml:space="preserve">English </w:t>
      </w:r>
      <w:r w:rsidR="009B12C8">
        <w:rPr>
          <w:i/>
          <w:iCs/>
          <w:sz w:val="24"/>
          <w:szCs w:val="24"/>
        </w:rPr>
        <w:t xml:space="preserve">or Welsh </w:t>
      </w:r>
      <w:r w:rsidRPr="00050958">
        <w:rPr>
          <w:sz w:val="24"/>
          <w:szCs w:val="24"/>
        </w:rPr>
        <w:t>for linked children with congenital anomalies</w:t>
      </w:r>
    </w:p>
    <w:p w14:paraId="355D6CC2" w14:textId="77777777" w:rsidR="00D53A44" w:rsidRDefault="006D7102">
      <w:pPr>
        <w:rPr>
          <w:sz w:val="24"/>
          <w:szCs w:val="24"/>
        </w:rPr>
      </w:pPr>
      <w:r w:rsidRPr="006D7102">
        <w:rPr>
          <w:b/>
          <w:bCs/>
          <w:sz w:val="24"/>
          <w:szCs w:val="24"/>
        </w:rPr>
        <w:t xml:space="preserve">KS2 </w:t>
      </w:r>
      <w:r w:rsidR="0027281A">
        <w:rPr>
          <w:b/>
          <w:bCs/>
          <w:sz w:val="24"/>
          <w:szCs w:val="24"/>
        </w:rPr>
        <w:t>–</w:t>
      </w:r>
      <w:r w:rsidRPr="006D7102">
        <w:rPr>
          <w:b/>
          <w:bCs/>
          <w:sz w:val="24"/>
          <w:szCs w:val="24"/>
        </w:rPr>
        <w:t xml:space="preserve"> T</w:t>
      </w:r>
      <w:r w:rsidR="0027281A">
        <w:rPr>
          <w:b/>
          <w:bCs/>
          <w:sz w:val="24"/>
          <w:szCs w:val="24"/>
        </w:rPr>
        <w:t xml:space="preserve">able </w:t>
      </w:r>
      <w:r w:rsidRPr="006D7102">
        <w:rPr>
          <w:b/>
          <w:bCs/>
          <w:sz w:val="24"/>
          <w:szCs w:val="24"/>
        </w:rPr>
        <w:t>E</w:t>
      </w:r>
      <w:r w:rsidRPr="006D7102">
        <w:rPr>
          <w:sz w:val="24"/>
          <w:szCs w:val="24"/>
        </w:rPr>
        <w:t xml:space="preserve">. Logistic regression results on the association between sociodemographic factors and KS2 results (achieving level 4 or above (expected level)) for </w:t>
      </w:r>
      <w:r w:rsidRPr="0027281A">
        <w:rPr>
          <w:i/>
          <w:iCs/>
          <w:sz w:val="24"/>
          <w:szCs w:val="24"/>
        </w:rPr>
        <w:t xml:space="preserve">Maths </w:t>
      </w:r>
      <w:r w:rsidRPr="006D7102">
        <w:rPr>
          <w:sz w:val="24"/>
          <w:szCs w:val="24"/>
        </w:rPr>
        <w:t>for linked children with congenital anomalies</w:t>
      </w:r>
    </w:p>
    <w:p w14:paraId="5C2214AF" w14:textId="77777777" w:rsidR="006D7102" w:rsidRDefault="006D7102">
      <w:pPr>
        <w:rPr>
          <w:sz w:val="24"/>
          <w:szCs w:val="24"/>
        </w:rPr>
      </w:pPr>
      <w:r w:rsidRPr="006D7102">
        <w:rPr>
          <w:b/>
          <w:bCs/>
          <w:sz w:val="24"/>
          <w:szCs w:val="24"/>
        </w:rPr>
        <w:t xml:space="preserve">KS2 </w:t>
      </w:r>
      <w:r w:rsidR="0027281A">
        <w:rPr>
          <w:b/>
          <w:bCs/>
          <w:sz w:val="24"/>
          <w:szCs w:val="24"/>
        </w:rPr>
        <w:t>–</w:t>
      </w:r>
      <w:r w:rsidRPr="006D7102">
        <w:rPr>
          <w:b/>
          <w:bCs/>
          <w:sz w:val="24"/>
          <w:szCs w:val="24"/>
        </w:rPr>
        <w:t xml:space="preserve"> T</w:t>
      </w:r>
      <w:r w:rsidR="0027281A">
        <w:rPr>
          <w:b/>
          <w:bCs/>
          <w:sz w:val="24"/>
          <w:szCs w:val="24"/>
        </w:rPr>
        <w:t xml:space="preserve">able </w:t>
      </w:r>
      <w:r w:rsidRPr="006D7102">
        <w:rPr>
          <w:b/>
          <w:bCs/>
          <w:sz w:val="24"/>
          <w:szCs w:val="24"/>
        </w:rPr>
        <w:t>F</w:t>
      </w:r>
      <w:r w:rsidRPr="006D7102">
        <w:rPr>
          <w:sz w:val="24"/>
          <w:szCs w:val="24"/>
        </w:rPr>
        <w:t xml:space="preserve">. Logistic regression results on the association between sociodemographic factors and KS2 results (achieving level 4 or above (expected level)) for </w:t>
      </w:r>
      <w:proofErr w:type="gramStart"/>
      <w:r w:rsidRPr="0027281A">
        <w:rPr>
          <w:i/>
          <w:iCs/>
          <w:sz w:val="24"/>
          <w:szCs w:val="24"/>
        </w:rPr>
        <w:t>Science</w:t>
      </w:r>
      <w:proofErr w:type="gramEnd"/>
      <w:r w:rsidRPr="006D7102">
        <w:rPr>
          <w:sz w:val="24"/>
          <w:szCs w:val="24"/>
        </w:rPr>
        <w:t xml:space="preserve"> for linked children with congenital anomalies</w:t>
      </w:r>
      <w:r>
        <w:rPr>
          <w:sz w:val="24"/>
          <w:szCs w:val="24"/>
        </w:rPr>
        <w:t>.</w:t>
      </w:r>
    </w:p>
    <w:p w14:paraId="22805EFC" w14:textId="77777777" w:rsidR="006D7102" w:rsidRDefault="006D7102">
      <w:pPr>
        <w:rPr>
          <w:sz w:val="24"/>
          <w:szCs w:val="24"/>
        </w:rPr>
      </w:pPr>
    </w:p>
    <w:p w14:paraId="31C8A21E" w14:textId="739EF754" w:rsidR="00493A88" w:rsidRDefault="006D7102">
      <w:pPr>
        <w:rPr>
          <w:sz w:val="24"/>
          <w:szCs w:val="24"/>
        </w:rPr>
      </w:pPr>
      <w:r>
        <w:rPr>
          <w:sz w:val="24"/>
          <w:szCs w:val="24"/>
        </w:rPr>
        <w:t xml:space="preserve">Last KS2 table (KS2 </w:t>
      </w:r>
      <w:r w:rsidR="0027281A">
        <w:rPr>
          <w:sz w:val="24"/>
          <w:szCs w:val="24"/>
        </w:rPr>
        <w:t>–</w:t>
      </w:r>
      <w:r>
        <w:rPr>
          <w:sz w:val="24"/>
          <w:szCs w:val="24"/>
        </w:rPr>
        <w:t xml:space="preserve"> T</w:t>
      </w:r>
      <w:r w:rsidR="0027281A">
        <w:rPr>
          <w:sz w:val="24"/>
          <w:szCs w:val="24"/>
        </w:rPr>
        <w:t xml:space="preserve">able </w:t>
      </w:r>
      <w:r>
        <w:rPr>
          <w:sz w:val="24"/>
          <w:szCs w:val="24"/>
        </w:rPr>
        <w:t xml:space="preserve">G) compares the percentage of children receiving special education support </w:t>
      </w:r>
      <w:r w:rsidR="009A08D7">
        <w:rPr>
          <w:sz w:val="24"/>
          <w:szCs w:val="24"/>
        </w:rPr>
        <w:t xml:space="preserve">at KS2 tests </w:t>
      </w:r>
      <w:r>
        <w:rPr>
          <w:sz w:val="24"/>
          <w:szCs w:val="24"/>
        </w:rPr>
        <w:t xml:space="preserve">between children with a specific CA and </w:t>
      </w:r>
      <w:r w:rsidR="009B12C8">
        <w:rPr>
          <w:sz w:val="24"/>
          <w:szCs w:val="24"/>
        </w:rPr>
        <w:t>referent</w:t>
      </w:r>
      <w:r>
        <w:rPr>
          <w:sz w:val="24"/>
          <w:szCs w:val="24"/>
        </w:rPr>
        <w:t xml:space="preserve"> children</w:t>
      </w:r>
      <w:r w:rsidR="00AC4A67">
        <w:rPr>
          <w:sz w:val="24"/>
          <w:szCs w:val="24"/>
        </w:rPr>
        <w:t xml:space="preserve"> (</w:t>
      </w:r>
      <w:r w:rsidR="00804E59">
        <w:rPr>
          <w:sz w:val="24"/>
          <w:szCs w:val="24"/>
        </w:rPr>
        <w:t xml:space="preserve">as given in </w:t>
      </w:r>
      <w:r w:rsidR="00BA6807">
        <w:rPr>
          <w:sz w:val="24"/>
          <w:szCs w:val="24"/>
        </w:rPr>
        <w:t>KS2_</w:t>
      </w:r>
      <w:r w:rsidR="00AC4A67">
        <w:rPr>
          <w:sz w:val="24"/>
          <w:szCs w:val="24"/>
        </w:rPr>
        <w:t>T</w:t>
      </w:r>
      <w:r w:rsidR="00B1298D">
        <w:rPr>
          <w:sz w:val="24"/>
          <w:szCs w:val="24"/>
        </w:rPr>
        <w:t>G_</w:t>
      </w:r>
      <w:r w:rsidR="00AC4A67">
        <w:rPr>
          <w:sz w:val="24"/>
          <w:szCs w:val="24"/>
        </w:rPr>
        <w:t>1)</w:t>
      </w:r>
      <w:r>
        <w:rPr>
          <w:sz w:val="24"/>
          <w:szCs w:val="24"/>
        </w:rPr>
        <w:t xml:space="preserve">. </w:t>
      </w:r>
    </w:p>
    <w:p w14:paraId="7900380E" w14:textId="529C1DA2" w:rsidR="006D7102" w:rsidRDefault="00493A88">
      <w:pPr>
        <w:rPr>
          <w:sz w:val="24"/>
          <w:szCs w:val="24"/>
        </w:rPr>
      </w:pPr>
      <w:r>
        <w:rPr>
          <w:sz w:val="24"/>
          <w:szCs w:val="24"/>
        </w:rPr>
        <w:t xml:space="preserve">In NPD, </w:t>
      </w:r>
      <w:r w:rsidR="006E3F9C">
        <w:rPr>
          <w:sz w:val="24"/>
          <w:szCs w:val="24"/>
        </w:rPr>
        <w:t>f</w:t>
      </w:r>
      <w:r w:rsidR="00AC4A67">
        <w:rPr>
          <w:sz w:val="24"/>
          <w:szCs w:val="24"/>
        </w:rPr>
        <w:t xml:space="preserve">or those with documented </w:t>
      </w:r>
      <w:r w:rsidR="00AC4A67" w:rsidRPr="006D7102">
        <w:rPr>
          <w:sz w:val="24"/>
          <w:szCs w:val="24"/>
        </w:rPr>
        <w:t xml:space="preserve">Special Education Needs </w:t>
      </w:r>
      <w:r w:rsidR="00AC4A67">
        <w:rPr>
          <w:sz w:val="24"/>
          <w:szCs w:val="24"/>
        </w:rPr>
        <w:t xml:space="preserve">(SEN), </w:t>
      </w:r>
      <w:r w:rsidR="00BA6807">
        <w:rPr>
          <w:sz w:val="24"/>
          <w:szCs w:val="24"/>
        </w:rPr>
        <w:t>KS2_</w:t>
      </w:r>
      <w:r w:rsidR="00AC4A67">
        <w:rPr>
          <w:sz w:val="24"/>
          <w:szCs w:val="24"/>
        </w:rPr>
        <w:t>T</w:t>
      </w:r>
      <w:r w:rsidR="0066170E">
        <w:rPr>
          <w:sz w:val="24"/>
          <w:szCs w:val="24"/>
        </w:rPr>
        <w:t>G_</w:t>
      </w:r>
      <w:r w:rsidR="00AC4A67">
        <w:rPr>
          <w:sz w:val="24"/>
          <w:szCs w:val="24"/>
        </w:rPr>
        <w:t xml:space="preserve">2 provides the number and the percentage of children with specific SEN type for cases and </w:t>
      </w:r>
      <w:r w:rsidR="007B66A5" w:rsidRPr="007B66A5">
        <w:rPr>
          <w:sz w:val="24"/>
          <w:szCs w:val="24"/>
        </w:rPr>
        <w:t>referent children</w:t>
      </w:r>
      <w:r w:rsidR="00AC4A67">
        <w:rPr>
          <w:sz w:val="24"/>
          <w:szCs w:val="24"/>
        </w:rPr>
        <w:t>.</w:t>
      </w:r>
    </w:p>
    <w:p w14:paraId="18736527" w14:textId="4A29BC33" w:rsidR="006D7102" w:rsidRDefault="006D7102">
      <w:pPr>
        <w:rPr>
          <w:sz w:val="24"/>
          <w:szCs w:val="24"/>
        </w:rPr>
      </w:pPr>
      <w:r w:rsidRPr="006D7102">
        <w:rPr>
          <w:b/>
          <w:bCs/>
          <w:sz w:val="24"/>
          <w:szCs w:val="24"/>
        </w:rPr>
        <w:t xml:space="preserve">KS2 </w:t>
      </w:r>
      <w:r w:rsidR="0027281A">
        <w:rPr>
          <w:b/>
          <w:bCs/>
          <w:sz w:val="24"/>
          <w:szCs w:val="24"/>
        </w:rPr>
        <w:t>–</w:t>
      </w:r>
      <w:r w:rsidRPr="006D7102">
        <w:rPr>
          <w:b/>
          <w:bCs/>
          <w:sz w:val="24"/>
          <w:szCs w:val="24"/>
        </w:rPr>
        <w:t xml:space="preserve"> T</w:t>
      </w:r>
      <w:r w:rsidR="0027281A">
        <w:rPr>
          <w:b/>
          <w:bCs/>
          <w:sz w:val="24"/>
          <w:szCs w:val="24"/>
        </w:rPr>
        <w:t xml:space="preserve">able </w:t>
      </w:r>
      <w:r w:rsidRPr="006D7102">
        <w:rPr>
          <w:b/>
          <w:bCs/>
          <w:sz w:val="24"/>
          <w:szCs w:val="24"/>
        </w:rPr>
        <w:t>G</w:t>
      </w:r>
      <w:r w:rsidRPr="006D7102">
        <w:rPr>
          <w:sz w:val="24"/>
          <w:szCs w:val="24"/>
        </w:rPr>
        <w:t xml:space="preserve">. Special Education Needs (SEN) at KS2 tests </w:t>
      </w:r>
      <w:r w:rsidR="006E3F9C">
        <w:rPr>
          <w:sz w:val="24"/>
          <w:szCs w:val="24"/>
        </w:rPr>
        <w:t>(</w:t>
      </w:r>
      <w:r w:rsidR="00BA6807">
        <w:rPr>
          <w:sz w:val="24"/>
          <w:szCs w:val="24"/>
        </w:rPr>
        <w:t>KS2_</w:t>
      </w:r>
      <w:r w:rsidR="006E3F9C">
        <w:rPr>
          <w:sz w:val="24"/>
          <w:szCs w:val="24"/>
        </w:rPr>
        <w:t xml:space="preserve">TG_1) </w:t>
      </w:r>
      <w:r w:rsidRPr="006D7102">
        <w:rPr>
          <w:sz w:val="24"/>
          <w:szCs w:val="24"/>
        </w:rPr>
        <w:t>and by SEN type if SEN identified</w:t>
      </w:r>
      <w:r w:rsidR="006E3F9C">
        <w:rPr>
          <w:sz w:val="24"/>
          <w:szCs w:val="24"/>
        </w:rPr>
        <w:t xml:space="preserve"> (</w:t>
      </w:r>
      <w:r w:rsidR="00BA6807">
        <w:rPr>
          <w:sz w:val="24"/>
          <w:szCs w:val="24"/>
        </w:rPr>
        <w:t>KS2_</w:t>
      </w:r>
      <w:r w:rsidR="006E3F9C">
        <w:rPr>
          <w:sz w:val="24"/>
          <w:szCs w:val="24"/>
        </w:rPr>
        <w:t>TG_2)</w:t>
      </w:r>
      <w:r w:rsidRPr="006D7102">
        <w:rPr>
          <w:sz w:val="24"/>
          <w:szCs w:val="24"/>
        </w:rPr>
        <w:t xml:space="preserve"> for linked children with congenital anomalies by </w:t>
      </w:r>
      <w:r w:rsidR="00804E59">
        <w:rPr>
          <w:sz w:val="24"/>
          <w:szCs w:val="24"/>
        </w:rPr>
        <w:t>CA</w:t>
      </w:r>
      <w:r w:rsidRPr="006D7102">
        <w:rPr>
          <w:sz w:val="24"/>
          <w:szCs w:val="24"/>
        </w:rPr>
        <w:t xml:space="preserve"> subgroup compared </w:t>
      </w:r>
      <w:r w:rsidR="00BF1D8C">
        <w:rPr>
          <w:sz w:val="24"/>
          <w:szCs w:val="24"/>
        </w:rPr>
        <w:t>with</w:t>
      </w:r>
      <w:r w:rsidRPr="006D7102">
        <w:rPr>
          <w:sz w:val="24"/>
          <w:szCs w:val="24"/>
        </w:rPr>
        <w:t xml:space="preserve"> </w:t>
      </w:r>
      <w:r w:rsidR="007B66A5" w:rsidRPr="007B66A5">
        <w:rPr>
          <w:sz w:val="24"/>
          <w:szCs w:val="24"/>
        </w:rPr>
        <w:t>referent children</w:t>
      </w:r>
    </w:p>
    <w:p w14:paraId="1DFC4A95" w14:textId="77777777" w:rsidR="006D7102" w:rsidRDefault="00BA6807" w:rsidP="00AC4A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</w:t>
      </w:r>
      <w:r w:rsidR="00AC4A67">
        <w:rPr>
          <w:rFonts w:cstheme="minorHAnsi"/>
          <w:sz w:val="24"/>
          <w:szCs w:val="24"/>
        </w:rPr>
        <w:t xml:space="preserve">NPD data, </w:t>
      </w:r>
      <w:r w:rsidR="004D615D">
        <w:rPr>
          <w:rFonts w:cstheme="minorHAnsi"/>
          <w:sz w:val="24"/>
          <w:szCs w:val="24"/>
        </w:rPr>
        <w:t>u</w:t>
      </w:r>
      <w:r w:rsidR="004D615D" w:rsidRPr="004D615D">
        <w:rPr>
          <w:rFonts w:cstheme="minorHAnsi"/>
          <w:sz w:val="24"/>
          <w:szCs w:val="24"/>
        </w:rPr>
        <w:t xml:space="preserve">ntil 2014, </w:t>
      </w:r>
      <w:r w:rsidR="004D615D">
        <w:rPr>
          <w:rFonts w:cstheme="minorHAnsi"/>
          <w:sz w:val="24"/>
          <w:szCs w:val="24"/>
        </w:rPr>
        <w:t xml:space="preserve">SEN type </w:t>
      </w:r>
      <w:r w:rsidR="004D615D" w:rsidRPr="004D615D">
        <w:rPr>
          <w:rFonts w:cstheme="minorHAnsi"/>
          <w:sz w:val="24"/>
          <w:szCs w:val="24"/>
        </w:rPr>
        <w:t>include</w:t>
      </w:r>
      <w:r w:rsidR="004D615D">
        <w:rPr>
          <w:rFonts w:cstheme="minorHAnsi"/>
          <w:sz w:val="24"/>
          <w:szCs w:val="24"/>
        </w:rPr>
        <w:t>d</w:t>
      </w:r>
      <w:r w:rsidR="004D615D" w:rsidRPr="004D615D">
        <w:rPr>
          <w:rFonts w:cstheme="minorHAnsi"/>
          <w:sz w:val="24"/>
          <w:szCs w:val="24"/>
        </w:rPr>
        <w:t xml:space="preserve"> pupils at school action plus and those pupils with a statement of SEN, but not those pupils at school action. From 2015, this includes pupils on SEN support or with a statement of SEN or EHC plan.</w:t>
      </w:r>
    </w:p>
    <w:p w14:paraId="72C5FF8E" w14:textId="77777777" w:rsidR="00AC4A67" w:rsidRDefault="00AC4A67" w:rsidP="00AC4A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E9EB17" w14:textId="25776D5F" w:rsidR="00AC4A67" w:rsidRPr="00AC4A67" w:rsidRDefault="00AC4A67" w:rsidP="00AC4A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(UNEW) are going </w:t>
      </w:r>
      <w:r w:rsidR="00804E59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then test the difference</w:t>
      </w:r>
      <w:r w:rsidR="00015C0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between cases and </w:t>
      </w:r>
      <w:r w:rsidR="007B66A5" w:rsidRPr="007B66A5">
        <w:rPr>
          <w:rFonts w:cstheme="minorHAnsi"/>
          <w:sz w:val="24"/>
          <w:szCs w:val="24"/>
        </w:rPr>
        <w:t>referent</w:t>
      </w:r>
      <w:r>
        <w:rPr>
          <w:rFonts w:cstheme="minorHAnsi"/>
          <w:sz w:val="24"/>
          <w:szCs w:val="24"/>
        </w:rPr>
        <w:t xml:space="preserve">s by calculating relative risks </w:t>
      </w:r>
      <w:r w:rsidR="0066170E">
        <w:rPr>
          <w:rFonts w:cstheme="minorHAnsi"/>
          <w:sz w:val="24"/>
          <w:szCs w:val="24"/>
        </w:rPr>
        <w:t>for each</w:t>
      </w:r>
      <w:r>
        <w:rPr>
          <w:rFonts w:cstheme="minorHAnsi"/>
          <w:sz w:val="24"/>
          <w:szCs w:val="24"/>
        </w:rPr>
        <w:t xml:space="preserve"> CA subgroup</w:t>
      </w:r>
      <w:r w:rsidR="0066170E">
        <w:rPr>
          <w:rFonts w:cstheme="minorHAnsi"/>
          <w:sz w:val="24"/>
          <w:szCs w:val="24"/>
        </w:rPr>
        <w:t xml:space="preserve"> compared to the </w:t>
      </w:r>
      <w:r w:rsidR="007B66A5" w:rsidRPr="007B66A5">
        <w:rPr>
          <w:rFonts w:cstheme="minorHAnsi"/>
          <w:sz w:val="24"/>
          <w:szCs w:val="24"/>
        </w:rPr>
        <w:t>referent children</w:t>
      </w:r>
      <w:r>
        <w:rPr>
          <w:rFonts w:cstheme="minorHAnsi"/>
          <w:sz w:val="24"/>
          <w:szCs w:val="24"/>
        </w:rPr>
        <w:t>.</w:t>
      </w:r>
    </w:p>
    <w:p w14:paraId="18EC989D" w14:textId="77777777" w:rsidR="00AC4A67" w:rsidRDefault="00AC4A67" w:rsidP="00AC4A6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7A78EE9" w14:textId="77777777" w:rsidR="009A08D7" w:rsidRPr="006C0815" w:rsidRDefault="009A08D7" w:rsidP="00AC4A6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2224C40" w14:textId="77777777" w:rsidR="003E135A" w:rsidRPr="009A08D7" w:rsidRDefault="003E135A">
      <w:pPr>
        <w:rPr>
          <w:b/>
          <w:bCs/>
          <w:sz w:val="28"/>
          <w:szCs w:val="28"/>
        </w:rPr>
      </w:pPr>
      <w:r w:rsidRPr="009A08D7">
        <w:rPr>
          <w:b/>
          <w:bCs/>
          <w:sz w:val="28"/>
          <w:szCs w:val="28"/>
        </w:rPr>
        <w:t xml:space="preserve">Key Stage 4 (KS4) </w:t>
      </w:r>
      <w:r w:rsidR="00E30F33">
        <w:rPr>
          <w:b/>
          <w:bCs/>
          <w:sz w:val="28"/>
          <w:szCs w:val="28"/>
        </w:rPr>
        <w:t>–</w:t>
      </w:r>
      <w:r w:rsidRPr="009A08D7">
        <w:rPr>
          <w:b/>
          <w:bCs/>
          <w:sz w:val="28"/>
          <w:szCs w:val="28"/>
        </w:rPr>
        <w:t>16</w:t>
      </w:r>
      <w:r w:rsidR="00B1298D">
        <w:rPr>
          <w:b/>
          <w:bCs/>
          <w:sz w:val="28"/>
          <w:szCs w:val="28"/>
        </w:rPr>
        <w:t>-</w:t>
      </w:r>
      <w:r w:rsidRPr="009A08D7">
        <w:rPr>
          <w:b/>
          <w:bCs/>
          <w:sz w:val="28"/>
          <w:szCs w:val="28"/>
        </w:rPr>
        <w:t>y</w:t>
      </w:r>
      <w:r w:rsidR="00E30F33">
        <w:rPr>
          <w:b/>
          <w:bCs/>
          <w:sz w:val="28"/>
          <w:szCs w:val="28"/>
        </w:rPr>
        <w:t>ea</w:t>
      </w:r>
      <w:r w:rsidRPr="009A08D7">
        <w:rPr>
          <w:b/>
          <w:bCs/>
          <w:sz w:val="28"/>
          <w:szCs w:val="28"/>
        </w:rPr>
        <w:t>r</w:t>
      </w:r>
      <w:r w:rsidR="00B1298D">
        <w:rPr>
          <w:b/>
          <w:bCs/>
          <w:sz w:val="28"/>
          <w:szCs w:val="28"/>
        </w:rPr>
        <w:t>-</w:t>
      </w:r>
      <w:r w:rsidR="00E30F33">
        <w:rPr>
          <w:b/>
          <w:bCs/>
          <w:sz w:val="28"/>
          <w:szCs w:val="28"/>
        </w:rPr>
        <w:t>old</w:t>
      </w:r>
      <w:r w:rsidR="00B1298D" w:rsidRPr="00B1298D">
        <w:rPr>
          <w:b/>
          <w:bCs/>
          <w:sz w:val="28"/>
          <w:szCs w:val="28"/>
        </w:rPr>
        <w:t xml:space="preserve"> </w:t>
      </w:r>
      <w:r w:rsidR="00B1298D">
        <w:rPr>
          <w:b/>
          <w:bCs/>
          <w:sz w:val="28"/>
          <w:szCs w:val="28"/>
        </w:rPr>
        <w:t>children</w:t>
      </w:r>
    </w:p>
    <w:p w14:paraId="78D3F14A" w14:textId="7C4B5D47" w:rsidR="003E135A" w:rsidRPr="009E651A" w:rsidRDefault="003E135A" w:rsidP="003E135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E65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KS4 - </w:t>
      </w:r>
      <w:r w:rsidR="002332CF" w:rsidRPr="009E651A">
        <w:rPr>
          <w:b/>
          <w:bCs/>
          <w:color w:val="000000" w:themeColor="text1"/>
          <w:sz w:val="24"/>
          <w:szCs w:val="24"/>
        </w:rPr>
        <w:t>T</w:t>
      </w:r>
      <w:r w:rsidR="002332CF">
        <w:rPr>
          <w:b/>
          <w:bCs/>
          <w:color w:val="000000" w:themeColor="text1"/>
          <w:sz w:val="24"/>
          <w:szCs w:val="24"/>
        </w:rPr>
        <w:t>able</w:t>
      </w:r>
      <w:r w:rsidR="002332CF" w:rsidRPr="009E65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9E65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A.</w:t>
      </w:r>
      <w:r w:rsidRPr="009E65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3E13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Sociodemographic </w:t>
      </w:r>
      <w:r w:rsidR="007B66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status</w:t>
      </w:r>
      <w:r w:rsidRPr="003E13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linked children </w:t>
      </w:r>
      <w:r w:rsidR="007B66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</w:t>
      </w:r>
      <w:r w:rsidR="007B66A5">
        <w:rPr>
          <w:sz w:val="24"/>
          <w:szCs w:val="24"/>
        </w:rPr>
        <w:t xml:space="preserve">typically aged 16 years) </w:t>
      </w:r>
      <w:r w:rsidRPr="003E13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with Key Stage 4 (KS4) </w:t>
      </w:r>
      <w:r w:rsidRPr="00B129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data </w:t>
      </w:r>
      <w:r w:rsidR="006C0815" w:rsidRPr="00B1298D">
        <w:rPr>
          <w:sz w:val="24"/>
          <w:szCs w:val="24"/>
        </w:rPr>
        <w:t>(</w:t>
      </w:r>
      <w:r w:rsidR="007B66A5" w:rsidRPr="007B66A5">
        <w:rPr>
          <w:sz w:val="24"/>
          <w:szCs w:val="24"/>
        </w:rPr>
        <w:t>referent children</w:t>
      </w:r>
      <w:r w:rsidR="006C0815" w:rsidRPr="00B1298D">
        <w:rPr>
          <w:sz w:val="24"/>
          <w:szCs w:val="24"/>
        </w:rPr>
        <w:t xml:space="preserve"> and cases) </w:t>
      </w:r>
      <w:r w:rsidRPr="00B129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by specific congenital anomaly </w:t>
      </w:r>
      <w:r w:rsidR="006C0815" w:rsidRPr="00B129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(CA)</w:t>
      </w:r>
      <w:r w:rsidR="002332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B129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subgroup </w:t>
      </w:r>
      <w:r w:rsidR="006C0815" w:rsidRPr="00B129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 children with CAs</w:t>
      </w:r>
    </w:p>
    <w:p w14:paraId="75DC8D02" w14:textId="215E993A" w:rsidR="003E135A" w:rsidRDefault="003E135A">
      <w:pPr>
        <w:rPr>
          <w:sz w:val="24"/>
          <w:szCs w:val="24"/>
        </w:rPr>
      </w:pPr>
      <w:r w:rsidRPr="003E135A">
        <w:rPr>
          <w:sz w:val="24"/>
          <w:szCs w:val="24"/>
        </w:rPr>
        <w:t>The descriptive table</w:t>
      </w:r>
      <w:r w:rsidR="000A77B7">
        <w:rPr>
          <w:sz w:val="24"/>
          <w:szCs w:val="24"/>
        </w:rPr>
        <w:t xml:space="preserve"> for child’s sex, gestational age</w:t>
      </w:r>
      <w:r w:rsidR="008773C0">
        <w:rPr>
          <w:sz w:val="24"/>
          <w:szCs w:val="24"/>
        </w:rPr>
        <w:t xml:space="preserve"> (&lt;32, 32-36, 37+ weeks and missing</w:t>
      </w:r>
      <w:r w:rsidR="00203BB1">
        <w:rPr>
          <w:sz w:val="24"/>
          <w:szCs w:val="24"/>
        </w:rPr>
        <w:t xml:space="preserve"> - </w:t>
      </w:r>
      <w:r w:rsidR="00AF0ABF">
        <w:rPr>
          <w:sz w:val="24"/>
          <w:szCs w:val="24"/>
        </w:rPr>
        <w:t>for referents in Wales data only)</w:t>
      </w:r>
      <w:r w:rsidR="000A77B7">
        <w:rPr>
          <w:sz w:val="24"/>
          <w:szCs w:val="24"/>
        </w:rPr>
        <w:t xml:space="preserve">, major language, </w:t>
      </w:r>
      <w:r w:rsidR="00D527F4">
        <w:rPr>
          <w:sz w:val="24"/>
          <w:szCs w:val="24"/>
        </w:rPr>
        <w:t>D</w:t>
      </w:r>
      <w:r w:rsidR="000A77B7">
        <w:rPr>
          <w:sz w:val="24"/>
          <w:szCs w:val="24"/>
        </w:rPr>
        <w:t xml:space="preserve">eprivation index </w:t>
      </w:r>
      <w:r w:rsidR="00D527F4">
        <w:rPr>
          <w:sz w:val="24"/>
          <w:szCs w:val="24"/>
        </w:rPr>
        <w:t xml:space="preserve">and </w:t>
      </w:r>
      <w:r w:rsidR="000A77B7" w:rsidRPr="000A77B7">
        <w:rPr>
          <w:sz w:val="24"/>
          <w:szCs w:val="24"/>
        </w:rPr>
        <w:t>Free school meal eligibility</w:t>
      </w:r>
      <w:r w:rsidR="000A77B7">
        <w:rPr>
          <w:sz w:val="24"/>
          <w:szCs w:val="24"/>
        </w:rPr>
        <w:t xml:space="preserve"> by </w:t>
      </w:r>
      <w:r w:rsidR="0080788F">
        <w:rPr>
          <w:sz w:val="24"/>
          <w:szCs w:val="24"/>
        </w:rPr>
        <w:t>CA</w:t>
      </w:r>
      <w:r w:rsidR="000A77B7">
        <w:rPr>
          <w:sz w:val="24"/>
          <w:szCs w:val="24"/>
        </w:rPr>
        <w:t xml:space="preserve"> subgroup</w:t>
      </w:r>
      <w:r w:rsidR="00D527F4">
        <w:rPr>
          <w:sz w:val="24"/>
          <w:szCs w:val="24"/>
        </w:rPr>
        <w:t xml:space="preserve"> is included</w:t>
      </w:r>
      <w:r w:rsidR="006B78FB">
        <w:rPr>
          <w:sz w:val="24"/>
          <w:szCs w:val="24"/>
        </w:rPr>
        <w:t xml:space="preserve"> (for subgroups where numbers permit).</w:t>
      </w:r>
    </w:p>
    <w:p w14:paraId="291A7080" w14:textId="65AFC067" w:rsidR="00D527F4" w:rsidRPr="002332CF" w:rsidRDefault="00D527F4">
      <w:pPr>
        <w:rPr>
          <w:sz w:val="24"/>
          <w:szCs w:val="24"/>
        </w:rPr>
      </w:pPr>
      <w:r w:rsidRPr="002332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lastRenderedPageBreak/>
        <w:t xml:space="preserve">KS4 – </w:t>
      </w:r>
      <w:r w:rsidR="002332CF" w:rsidRPr="002332CF">
        <w:rPr>
          <w:b/>
          <w:bCs/>
          <w:color w:val="000000" w:themeColor="text1"/>
          <w:sz w:val="24"/>
          <w:szCs w:val="24"/>
        </w:rPr>
        <w:t>Table</w:t>
      </w:r>
      <w:r w:rsidR="002332CF" w:rsidRPr="002332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2332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B. </w:t>
      </w:r>
      <w:r w:rsidR="00203207" w:rsidRPr="00203207">
        <w:rPr>
          <w:sz w:val="24"/>
          <w:szCs w:val="24"/>
        </w:rPr>
        <w:t>KS4 - Table B. GCSE or equivalents - number and percentage of children achieving 5 or more GCSE/GNVQs at grades A*-C (level 2) or A*-G (level 1) - for children with congenital anomalies and referent children</w:t>
      </w:r>
    </w:p>
    <w:p w14:paraId="5B7D84C7" w14:textId="77777777" w:rsidR="00FC0D2E" w:rsidRDefault="00203207" w:rsidP="00203207">
      <w:pPr>
        <w:rPr>
          <w:sz w:val="24"/>
          <w:szCs w:val="24"/>
        </w:rPr>
      </w:pPr>
      <w:r w:rsidRPr="00203207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descriptive </w:t>
      </w:r>
      <w:r w:rsidRPr="00203207">
        <w:rPr>
          <w:sz w:val="24"/>
          <w:szCs w:val="24"/>
        </w:rPr>
        <w:t xml:space="preserve">analysis will </w:t>
      </w:r>
      <w:r>
        <w:rPr>
          <w:sz w:val="24"/>
          <w:szCs w:val="24"/>
        </w:rPr>
        <w:t>produce the percentage of children with CAs and referent children (from the number of eligible children for each group) who achieved level 2 (</w:t>
      </w:r>
      <w:r w:rsidRPr="00203207">
        <w:rPr>
          <w:sz w:val="24"/>
          <w:szCs w:val="24"/>
        </w:rPr>
        <w:t>5 or more GCSE/</w:t>
      </w:r>
      <w:r>
        <w:rPr>
          <w:sz w:val="24"/>
          <w:szCs w:val="24"/>
        </w:rPr>
        <w:t>equivalents at grades</w:t>
      </w:r>
      <w:r w:rsidRPr="00203207">
        <w:rPr>
          <w:sz w:val="24"/>
          <w:szCs w:val="24"/>
        </w:rPr>
        <w:t xml:space="preserve"> A*-</w:t>
      </w:r>
      <w:r>
        <w:rPr>
          <w:sz w:val="24"/>
          <w:szCs w:val="24"/>
        </w:rPr>
        <w:t>C), level 1 (</w:t>
      </w:r>
      <w:r w:rsidRPr="00203207">
        <w:rPr>
          <w:sz w:val="24"/>
          <w:szCs w:val="24"/>
        </w:rPr>
        <w:t>5 or more GCSE/</w:t>
      </w:r>
      <w:r>
        <w:rPr>
          <w:sz w:val="24"/>
          <w:szCs w:val="24"/>
        </w:rPr>
        <w:t>equivalents at grades</w:t>
      </w:r>
      <w:r w:rsidRPr="00203207">
        <w:rPr>
          <w:sz w:val="24"/>
          <w:szCs w:val="24"/>
        </w:rPr>
        <w:t xml:space="preserve"> A*-</w:t>
      </w:r>
      <w:r>
        <w:rPr>
          <w:sz w:val="24"/>
          <w:szCs w:val="24"/>
        </w:rPr>
        <w:t xml:space="preserve">G) or any pass </w:t>
      </w:r>
      <w:r w:rsidRPr="00203207">
        <w:rPr>
          <w:sz w:val="24"/>
          <w:szCs w:val="24"/>
        </w:rPr>
        <w:t>in GCSE or equivalent</w:t>
      </w:r>
      <w:r w:rsidR="00FC0D2E">
        <w:rPr>
          <w:sz w:val="24"/>
          <w:szCs w:val="24"/>
        </w:rPr>
        <w:t xml:space="preserve">. </w:t>
      </w:r>
    </w:p>
    <w:p w14:paraId="765AB231" w14:textId="12E05031" w:rsidR="00D527F4" w:rsidRPr="0076337F" w:rsidRDefault="00FC0D2E" w:rsidP="00203207">
      <w:pPr>
        <w:rPr>
          <w:color w:val="000000" w:themeColor="text1"/>
          <w:sz w:val="24"/>
          <w:szCs w:val="24"/>
        </w:rPr>
      </w:pPr>
      <w:r w:rsidRPr="0076337F">
        <w:rPr>
          <w:sz w:val="24"/>
          <w:szCs w:val="24"/>
        </w:rPr>
        <w:t>For English NPD data, the variables describing the highest examination category achieved (</w:t>
      </w:r>
      <w:r w:rsidRPr="006B78FB">
        <w:rPr>
          <w:rFonts w:cstheme="minorHAnsi"/>
          <w:color w:val="000000" w:themeColor="text1"/>
          <w:sz w:val="24"/>
          <w:szCs w:val="24"/>
        </w:rPr>
        <w:t xml:space="preserve">KS4_EXAMCAT (2004/05 - 2012/13), KS4_EXAMCAT_PTQ (2013/14) and </w:t>
      </w:r>
      <w:r w:rsidRPr="006B78FB">
        <w:rPr>
          <w:bCs/>
          <w:color w:val="000000" w:themeColor="text1"/>
          <w:sz w:val="24"/>
          <w:szCs w:val="24"/>
        </w:rPr>
        <w:t>KS4_EXAMCAT_PTQ_EE (from 2014/15)) can also be used to describe children’s KS4 achievement.</w:t>
      </w:r>
    </w:p>
    <w:p w14:paraId="5983C6B2" w14:textId="77777777" w:rsidR="0078349D" w:rsidRPr="00FC0D2E" w:rsidRDefault="0078349D" w:rsidP="0078349D">
      <w:pPr>
        <w:spacing w:after="0" w:line="240" w:lineRule="auto"/>
        <w:rPr>
          <w:bCs/>
          <w:color w:val="000000" w:themeColor="text1"/>
          <w:sz w:val="24"/>
          <w:szCs w:val="24"/>
        </w:rPr>
      </w:pPr>
    </w:p>
    <w:p w14:paraId="2F6A6F7C" w14:textId="32F46B65" w:rsidR="00D527F4" w:rsidRDefault="00D527F4">
      <w:pPr>
        <w:rPr>
          <w:b/>
          <w:bCs/>
          <w:sz w:val="24"/>
          <w:szCs w:val="24"/>
        </w:rPr>
      </w:pPr>
      <w:r w:rsidRPr="00D527F4">
        <w:rPr>
          <w:b/>
          <w:bCs/>
          <w:sz w:val="24"/>
          <w:szCs w:val="24"/>
        </w:rPr>
        <w:t xml:space="preserve">KS4 - </w:t>
      </w:r>
      <w:r w:rsidR="002332CF" w:rsidRPr="009E651A">
        <w:rPr>
          <w:b/>
          <w:bCs/>
          <w:color w:val="000000" w:themeColor="text1"/>
          <w:sz w:val="24"/>
          <w:szCs w:val="24"/>
        </w:rPr>
        <w:t>T</w:t>
      </w:r>
      <w:r w:rsidR="002332CF">
        <w:rPr>
          <w:b/>
          <w:bCs/>
          <w:color w:val="000000" w:themeColor="text1"/>
          <w:sz w:val="24"/>
          <w:szCs w:val="24"/>
        </w:rPr>
        <w:t>able</w:t>
      </w:r>
      <w:r w:rsidR="002332CF" w:rsidRPr="00D527F4">
        <w:rPr>
          <w:b/>
          <w:bCs/>
          <w:sz w:val="24"/>
          <w:szCs w:val="24"/>
        </w:rPr>
        <w:t xml:space="preserve"> </w:t>
      </w:r>
      <w:r w:rsidRPr="00D527F4">
        <w:rPr>
          <w:b/>
          <w:bCs/>
          <w:sz w:val="24"/>
          <w:szCs w:val="24"/>
        </w:rPr>
        <w:t xml:space="preserve">C. </w:t>
      </w:r>
      <w:r w:rsidRPr="009E651A">
        <w:rPr>
          <w:sz w:val="24"/>
          <w:szCs w:val="24"/>
        </w:rPr>
        <w:t xml:space="preserve">KS4 results - </w:t>
      </w:r>
      <w:r w:rsidR="00D53A44" w:rsidRPr="00D53A44">
        <w:rPr>
          <w:sz w:val="24"/>
          <w:szCs w:val="24"/>
        </w:rPr>
        <w:t xml:space="preserve">1) Unadjusted </w:t>
      </w:r>
      <w:r w:rsidR="00BA6807">
        <w:rPr>
          <w:sz w:val="24"/>
          <w:szCs w:val="24"/>
        </w:rPr>
        <w:t xml:space="preserve">and </w:t>
      </w:r>
      <w:r w:rsidR="00BA6807" w:rsidRPr="00D53A44">
        <w:rPr>
          <w:sz w:val="24"/>
          <w:szCs w:val="24"/>
        </w:rPr>
        <w:t>2)</w:t>
      </w:r>
      <w:r w:rsidR="00B270A1">
        <w:rPr>
          <w:sz w:val="24"/>
          <w:szCs w:val="24"/>
        </w:rPr>
        <w:t>,</w:t>
      </w:r>
      <w:r w:rsidR="00BA6807">
        <w:rPr>
          <w:sz w:val="24"/>
          <w:szCs w:val="24"/>
        </w:rPr>
        <w:t xml:space="preserve"> </w:t>
      </w:r>
      <w:r w:rsidR="00B270A1" w:rsidRPr="00AF51AC">
        <w:rPr>
          <w:color w:val="000000" w:themeColor="text1"/>
          <w:sz w:val="24"/>
          <w:szCs w:val="24"/>
        </w:rPr>
        <w:t xml:space="preserve">3) </w:t>
      </w:r>
      <w:r w:rsidR="00B270A1">
        <w:rPr>
          <w:color w:val="000000" w:themeColor="text1"/>
          <w:sz w:val="24"/>
          <w:szCs w:val="24"/>
        </w:rPr>
        <w:t>and 4</w:t>
      </w:r>
      <w:proofErr w:type="gramStart"/>
      <w:r w:rsidR="00B270A1">
        <w:rPr>
          <w:color w:val="000000" w:themeColor="text1"/>
          <w:sz w:val="24"/>
          <w:szCs w:val="24"/>
        </w:rPr>
        <w:t xml:space="preserve">) </w:t>
      </w:r>
      <w:r w:rsidR="00BA6807" w:rsidRPr="00D53A44">
        <w:rPr>
          <w:sz w:val="24"/>
          <w:szCs w:val="24"/>
        </w:rPr>
        <w:t xml:space="preserve"> </w:t>
      </w:r>
      <w:r w:rsidR="00BA6807">
        <w:rPr>
          <w:sz w:val="24"/>
          <w:szCs w:val="24"/>
        </w:rPr>
        <w:t>A</w:t>
      </w:r>
      <w:r w:rsidR="00BA6807" w:rsidRPr="00D53A44">
        <w:rPr>
          <w:sz w:val="24"/>
          <w:szCs w:val="24"/>
        </w:rPr>
        <w:t>djusted</w:t>
      </w:r>
      <w:proofErr w:type="gramEnd"/>
      <w:r w:rsidR="00BA6807" w:rsidRPr="00D53A44">
        <w:rPr>
          <w:sz w:val="24"/>
          <w:szCs w:val="24"/>
        </w:rPr>
        <w:t xml:space="preserve"> ORs </w:t>
      </w:r>
      <w:r w:rsidRPr="009E651A">
        <w:rPr>
          <w:sz w:val="24"/>
          <w:szCs w:val="24"/>
        </w:rPr>
        <w:t xml:space="preserve">of achieving 5 or more GCSE/GNVQs at grades A*-C or A*-G - </w:t>
      </w:r>
      <w:r w:rsidRPr="009E651A">
        <w:rPr>
          <w:color w:val="0000FF"/>
          <w:sz w:val="24"/>
          <w:szCs w:val="24"/>
        </w:rPr>
        <w:t xml:space="preserve">for children with congenital anomalies versus </w:t>
      </w:r>
      <w:r w:rsidR="00364DCA">
        <w:rPr>
          <w:color w:val="0000FF"/>
          <w:sz w:val="24"/>
          <w:szCs w:val="24"/>
        </w:rPr>
        <w:t>referents</w:t>
      </w:r>
      <w:r w:rsidR="00D53A44">
        <w:rPr>
          <w:color w:val="0000FF"/>
          <w:sz w:val="24"/>
          <w:szCs w:val="24"/>
        </w:rPr>
        <w:t xml:space="preserve"> - </w:t>
      </w:r>
      <w:r w:rsidR="00D53A44" w:rsidRPr="00D53A44">
        <w:rPr>
          <w:sz w:val="24"/>
          <w:szCs w:val="24"/>
        </w:rPr>
        <w:t>logistic regression results</w:t>
      </w:r>
    </w:p>
    <w:p w14:paraId="2143B334" w14:textId="77777777" w:rsidR="00D527F4" w:rsidRPr="00050958" w:rsidRDefault="00D527F4" w:rsidP="000509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0958">
        <w:rPr>
          <w:sz w:val="24"/>
          <w:szCs w:val="24"/>
        </w:rPr>
        <w:t>Unad</w:t>
      </w:r>
      <w:r w:rsidR="000452D6" w:rsidRPr="00050958">
        <w:rPr>
          <w:sz w:val="24"/>
          <w:szCs w:val="24"/>
        </w:rPr>
        <w:t>j</w:t>
      </w:r>
      <w:r w:rsidRPr="00050958">
        <w:rPr>
          <w:sz w:val="24"/>
          <w:szCs w:val="24"/>
        </w:rPr>
        <w:t>usted</w:t>
      </w:r>
    </w:p>
    <w:p w14:paraId="3D3E8C7C" w14:textId="77777777" w:rsidR="002332CF" w:rsidRDefault="002332CF" w:rsidP="002332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27F4">
        <w:rPr>
          <w:sz w:val="24"/>
          <w:szCs w:val="24"/>
        </w:rPr>
        <w:t xml:space="preserve">Adjusted for Free school meal eligibility </w:t>
      </w:r>
      <w:r>
        <w:rPr>
          <w:sz w:val="24"/>
          <w:szCs w:val="24"/>
        </w:rPr>
        <w:t xml:space="preserve">(FSME – yes/no) </w:t>
      </w:r>
    </w:p>
    <w:p w14:paraId="23A04C89" w14:textId="50707F9D" w:rsidR="002332CF" w:rsidRDefault="002332CF" w:rsidP="002332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27F4">
        <w:rPr>
          <w:sz w:val="24"/>
          <w:szCs w:val="24"/>
        </w:rPr>
        <w:t xml:space="preserve">Adjusted for </w:t>
      </w:r>
      <w:r w:rsidRPr="00EA1904">
        <w:rPr>
          <w:sz w:val="24"/>
          <w:szCs w:val="24"/>
        </w:rPr>
        <w:t xml:space="preserve">deprivation index (NPD </w:t>
      </w:r>
      <w:r w:rsidR="00E571B2" w:rsidRPr="00EA1904">
        <w:rPr>
          <w:sz w:val="24"/>
          <w:szCs w:val="24"/>
        </w:rPr>
        <w:t xml:space="preserve">IDACI </w:t>
      </w:r>
      <w:proofErr w:type="spellStart"/>
      <w:r w:rsidR="00E571B2">
        <w:rPr>
          <w:sz w:val="24"/>
          <w:szCs w:val="24"/>
        </w:rPr>
        <w:t>tertile</w:t>
      </w:r>
      <w:r w:rsidR="00584194">
        <w:rPr>
          <w:sz w:val="24"/>
          <w:szCs w:val="24"/>
        </w:rPr>
        <w:t>s</w:t>
      </w:r>
      <w:proofErr w:type="spellEnd"/>
      <w:r w:rsidR="00E571B2" w:rsidRPr="00EA1904">
        <w:rPr>
          <w:sz w:val="24"/>
          <w:szCs w:val="24"/>
        </w:rPr>
        <w:t xml:space="preserve"> or SAIL WIMD </w:t>
      </w:r>
      <w:r w:rsidR="003D260C">
        <w:rPr>
          <w:sz w:val="24"/>
          <w:szCs w:val="24"/>
        </w:rPr>
        <w:t>quintiles</w:t>
      </w:r>
      <w:r w:rsidR="00E571B2">
        <w:rPr>
          <w:sz w:val="24"/>
          <w:szCs w:val="24"/>
        </w:rPr>
        <w:t xml:space="preserve"> and Welsh </w:t>
      </w:r>
      <w:r w:rsidR="00E571B2" w:rsidRPr="00245756">
        <w:rPr>
          <w:sz w:val="24"/>
          <w:szCs w:val="24"/>
        </w:rPr>
        <w:t>LSOA Townsend deprivation scores</w:t>
      </w:r>
      <w:r w:rsidR="003D260C">
        <w:rPr>
          <w:sz w:val="24"/>
          <w:szCs w:val="24"/>
        </w:rPr>
        <w:t xml:space="preserve"> and ranks, birth year and gestational age group (the latter two for Wales only)</w:t>
      </w:r>
      <w:r w:rsidR="00E571B2" w:rsidRPr="00EA1904">
        <w:rPr>
          <w:sz w:val="24"/>
          <w:szCs w:val="24"/>
        </w:rPr>
        <w:t>)</w:t>
      </w:r>
      <w:r w:rsidR="00203BB1">
        <w:rPr>
          <w:sz w:val="24"/>
          <w:szCs w:val="24"/>
        </w:rPr>
        <w:t>.</w:t>
      </w:r>
    </w:p>
    <w:p w14:paraId="06DC8BBF" w14:textId="336BDDCC" w:rsidR="00B270A1" w:rsidRPr="00B270A1" w:rsidRDefault="00B270A1" w:rsidP="00B270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70A1">
        <w:rPr>
          <w:sz w:val="24"/>
          <w:szCs w:val="24"/>
        </w:rPr>
        <w:t>Adjusted for school absence</w:t>
      </w:r>
    </w:p>
    <w:p w14:paraId="57A4F54A" w14:textId="27014CC1" w:rsidR="005D69F0" w:rsidRDefault="005D69F0" w:rsidP="005D69F0">
      <w:pPr>
        <w:rPr>
          <w:sz w:val="24"/>
          <w:szCs w:val="24"/>
        </w:rPr>
      </w:pPr>
      <w:r>
        <w:rPr>
          <w:sz w:val="24"/>
          <w:szCs w:val="24"/>
        </w:rPr>
        <w:t xml:space="preserve">The first analysis (1) will show if the odds of </w:t>
      </w:r>
      <w:r w:rsidRPr="009E651A">
        <w:rPr>
          <w:sz w:val="24"/>
          <w:szCs w:val="24"/>
        </w:rPr>
        <w:t>achieving 5 or more GCSE/GNVQs at grades A*-C or A*-G</w:t>
      </w:r>
      <w:r>
        <w:rPr>
          <w:sz w:val="24"/>
          <w:szCs w:val="24"/>
        </w:rPr>
        <w:t xml:space="preserve"> differ between children with a </w:t>
      </w:r>
      <w:r w:rsidR="0080788F">
        <w:rPr>
          <w:sz w:val="24"/>
          <w:szCs w:val="24"/>
        </w:rPr>
        <w:t>CA</w:t>
      </w:r>
      <w:r>
        <w:rPr>
          <w:sz w:val="24"/>
          <w:szCs w:val="24"/>
        </w:rPr>
        <w:t xml:space="preserve"> (by CA subgroup</w:t>
      </w:r>
      <w:r w:rsidR="00B14D6C">
        <w:rPr>
          <w:sz w:val="24"/>
          <w:szCs w:val="24"/>
        </w:rPr>
        <w:t xml:space="preserve"> and any CA</w:t>
      </w:r>
      <w:r>
        <w:rPr>
          <w:sz w:val="24"/>
          <w:szCs w:val="24"/>
        </w:rPr>
        <w:t xml:space="preserve">) and </w:t>
      </w:r>
      <w:r w:rsidR="00B14D6C">
        <w:rPr>
          <w:sz w:val="24"/>
          <w:szCs w:val="24"/>
        </w:rPr>
        <w:t>referents</w:t>
      </w:r>
      <w:r>
        <w:rPr>
          <w:sz w:val="24"/>
          <w:szCs w:val="24"/>
        </w:rPr>
        <w:t>.</w:t>
      </w:r>
    </w:p>
    <w:p w14:paraId="6E6309B2" w14:textId="61174D12" w:rsidR="005D69F0" w:rsidRDefault="005D69F0" w:rsidP="005D69F0">
      <w:pPr>
        <w:rPr>
          <w:sz w:val="24"/>
          <w:szCs w:val="24"/>
        </w:rPr>
      </w:pPr>
      <w:r>
        <w:rPr>
          <w:sz w:val="24"/>
          <w:szCs w:val="24"/>
        </w:rPr>
        <w:t xml:space="preserve">The second </w:t>
      </w:r>
      <w:r w:rsidR="002332CF">
        <w:rPr>
          <w:sz w:val="24"/>
          <w:szCs w:val="24"/>
        </w:rPr>
        <w:t>(2)</w:t>
      </w:r>
      <w:r w:rsidR="00B270A1">
        <w:rPr>
          <w:sz w:val="24"/>
          <w:szCs w:val="24"/>
        </w:rPr>
        <w:t>,</w:t>
      </w:r>
      <w:r w:rsidR="002332CF">
        <w:rPr>
          <w:sz w:val="24"/>
          <w:szCs w:val="24"/>
        </w:rPr>
        <w:t xml:space="preserve"> third (3) </w:t>
      </w:r>
      <w:r w:rsidR="00B270A1">
        <w:rPr>
          <w:sz w:val="24"/>
          <w:szCs w:val="24"/>
        </w:rPr>
        <w:t xml:space="preserve">and fourth (4) </w:t>
      </w:r>
      <w:r w:rsidR="00FC0D2E">
        <w:rPr>
          <w:sz w:val="24"/>
          <w:szCs w:val="24"/>
        </w:rPr>
        <w:t>adjusted analyses</w:t>
      </w:r>
      <w:r>
        <w:rPr>
          <w:sz w:val="24"/>
          <w:szCs w:val="24"/>
        </w:rPr>
        <w:t xml:space="preserve"> will show if the results in Table 1 change when adjusted for deprivation indicator</w:t>
      </w:r>
      <w:r w:rsidR="00B01472">
        <w:rPr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 w:rsidR="00EB00CB" w:rsidRPr="00050958">
        <w:rPr>
          <w:sz w:val="24"/>
          <w:szCs w:val="24"/>
        </w:rPr>
        <w:t xml:space="preserve">FSME </w:t>
      </w:r>
      <w:r w:rsidR="00EB00CB">
        <w:rPr>
          <w:sz w:val="24"/>
          <w:szCs w:val="24"/>
        </w:rPr>
        <w:t xml:space="preserve">and </w:t>
      </w:r>
      <w:r w:rsidR="00EB00CB" w:rsidRPr="00EA1904">
        <w:rPr>
          <w:sz w:val="24"/>
          <w:szCs w:val="24"/>
        </w:rPr>
        <w:t>IDACI</w:t>
      </w:r>
      <w:r w:rsidR="00EB00CB">
        <w:rPr>
          <w:sz w:val="24"/>
          <w:szCs w:val="24"/>
        </w:rPr>
        <w:t xml:space="preserve"> for England or </w:t>
      </w:r>
      <w:r w:rsidR="00EB00CB" w:rsidRPr="00050958">
        <w:rPr>
          <w:sz w:val="24"/>
          <w:szCs w:val="24"/>
        </w:rPr>
        <w:t>WIMD/</w:t>
      </w:r>
      <w:r w:rsidR="00EB00CB">
        <w:rPr>
          <w:sz w:val="24"/>
          <w:szCs w:val="24"/>
        </w:rPr>
        <w:t>Townsend score for Wales)</w:t>
      </w:r>
      <w:r w:rsidR="00B270A1">
        <w:rPr>
          <w:sz w:val="24"/>
          <w:szCs w:val="24"/>
        </w:rPr>
        <w:t>, school absence and other variables specified for Wales</w:t>
      </w:r>
    </w:p>
    <w:p w14:paraId="6877EE7E" w14:textId="77777777" w:rsidR="005D69F0" w:rsidRDefault="005D69F0" w:rsidP="005D69F0">
      <w:pPr>
        <w:rPr>
          <w:sz w:val="24"/>
          <w:szCs w:val="24"/>
        </w:rPr>
      </w:pPr>
    </w:p>
    <w:p w14:paraId="5C05494A" w14:textId="0767AC8D" w:rsidR="005D69F0" w:rsidRDefault="005D69F0" w:rsidP="005D69F0">
      <w:pPr>
        <w:rPr>
          <w:sz w:val="24"/>
          <w:szCs w:val="24"/>
        </w:rPr>
      </w:pPr>
      <w:r w:rsidRPr="009A08D7">
        <w:rPr>
          <w:color w:val="0000FF"/>
          <w:sz w:val="24"/>
          <w:szCs w:val="24"/>
        </w:rPr>
        <w:t xml:space="preserve">The </w:t>
      </w:r>
      <w:r w:rsidR="0080788F" w:rsidRPr="009A08D7">
        <w:rPr>
          <w:color w:val="0000FF"/>
          <w:sz w:val="24"/>
          <w:szCs w:val="24"/>
        </w:rPr>
        <w:t xml:space="preserve">analyses below </w:t>
      </w:r>
      <w:r w:rsidR="00B01472" w:rsidRPr="009A08D7">
        <w:rPr>
          <w:color w:val="0000FF"/>
          <w:sz w:val="24"/>
          <w:szCs w:val="24"/>
        </w:rPr>
        <w:t>will</w:t>
      </w:r>
      <w:r w:rsidR="0080788F" w:rsidRPr="009A08D7">
        <w:rPr>
          <w:color w:val="0000FF"/>
          <w:sz w:val="24"/>
          <w:szCs w:val="24"/>
        </w:rPr>
        <w:t xml:space="preserve"> be </w:t>
      </w:r>
      <w:r w:rsidR="00784C7D" w:rsidRPr="009A08D7">
        <w:rPr>
          <w:color w:val="0000FF"/>
          <w:sz w:val="24"/>
          <w:szCs w:val="24"/>
        </w:rPr>
        <w:t xml:space="preserve">performed </w:t>
      </w:r>
      <w:r w:rsidR="0080788F" w:rsidRPr="009A08D7">
        <w:rPr>
          <w:color w:val="0000FF"/>
          <w:sz w:val="24"/>
          <w:szCs w:val="24"/>
        </w:rPr>
        <w:t xml:space="preserve">on children with CAs only </w:t>
      </w:r>
      <w:r w:rsidR="0080788F">
        <w:rPr>
          <w:sz w:val="24"/>
          <w:szCs w:val="24"/>
        </w:rPr>
        <w:t>to investigate the effect of risk factors on the association between a specific CA and KS4 result</w:t>
      </w:r>
      <w:r w:rsidR="00B01472">
        <w:rPr>
          <w:sz w:val="24"/>
          <w:szCs w:val="24"/>
        </w:rPr>
        <w:t>s</w:t>
      </w:r>
      <w:r w:rsidR="0080788F">
        <w:rPr>
          <w:sz w:val="24"/>
          <w:szCs w:val="24"/>
        </w:rPr>
        <w:t>.</w:t>
      </w:r>
    </w:p>
    <w:p w14:paraId="2BD582FC" w14:textId="50C304E0" w:rsidR="00E571B2" w:rsidRPr="008F347F" w:rsidRDefault="00E571B2" w:rsidP="00E571B2">
      <w:pPr>
        <w:rPr>
          <w:sz w:val="24"/>
          <w:szCs w:val="24"/>
        </w:rPr>
      </w:pPr>
      <w:r w:rsidRPr="008F347F">
        <w:rPr>
          <w:sz w:val="24"/>
          <w:szCs w:val="24"/>
        </w:rPr>
        <w:t>Due to expected small numbers for some specific CA subgroups</w:t>
      </w:r>
      <w:r w:rsidR="0076337F" w:rsidRPr="008F347F">
        <w:rPr>
          <w:sz w:val="24"/>
          <w:szCs w:val="24"/>
        </w:rPr>
        <w:t>,</w:t>
      </w:r>
      <w:r w:rsidRPr="008F347F">
        <w:rPr>
          <w:sz w:val="24"/>
          <w:szCs w:val="24"/>
        </w:rPr>
        <w:t xml:space="preserve"> this analysis may be possible for the most common CA subgroups only (</w:t>
      </w:r>
      <w:proofErr w:type="gramStart"/>
      <w:r w:rsidRPr="008F347F">
        <w:rPr>
          <w:sz w:val="24"/>
          <w:szCs w:val="24"/>
        </w:rPr>
        <w:t>e.g.</w:t>
      </w:r>
      <w:proofErr w:type="gramEnd"/>
      <w:r w:rsidRPr="008F347F">
        <w:rPr>
          <w:sz w:val="24"/>
          <w:szCs w:val="24"/>
        </w:rPr>
        <w:t xml:space="preserve"> all CHD, severe CHD, orofacial clefts, Down syndrome</w:t>
      </w:r>
      <w:r w:rsidR="00266B2D" w:rsidRPr="008F347F">
        <w:rPr>
          <w:sz w:val="24"/>
          <w:szCs w:val="24"/>
        </w:rPr>
        <w:t xml:space="preserve"> (any)</w:t>
      </w:r>
      <w:r w:rsidRPr="008F347F">
        <w:rPr>
          <w:sz w:val="24"/>
          <w:szCs w:val="24"/>
        </w:rPr>
        <w:t>).</w:t>
      </w:r>
    </w:p>
    <w:p w14:paraId="51D97CD7" w14:textId="77777777" w:rsidR="00B01472" w:rsidRDefault="00B01472" w:rsidP="005D69F0">
      <w:pPr>
        <w:rPr>
          <w:sz w:val="24"/>
          <w:szCs w:val="24"/>
        </w:rPr>
      </w:pPr>
      <w:r>
        <w:rPr>
          <w:sz w:val="24"/>
          <w:szCs w:val="24"/>
        </w:rPr>
        <w:t>The primary outcomes are</w:t>
      </w:r>
      <w:r w:rsidR="00804E59">
        <w:rPr>
          <w:sz w:val="24"/>
          <w:szCs w:val="24"/>
        </w:rPr>
        <w:t>:</w:t>
      </w:r>
      <w:r>
        <w:rPr>
          <w:sz w:val="24"/>
          <w:szCs w:val="24"/>
        </w:rPr>
        <w:t xml:space="preserve"> 1) a</w:t>
      </w:r>
      <w:r w:rsidRPr="00B01472">
        <w:rPr>
          <w:sz w:val="24"/>
          <w:szCs w:val="24"/>
        </w:rPr>
        <w:t>chiev</w:t>
      </w:r>
      <w:r>
        <w:rPr>
          <w:sz w:val="24"/>
          <w:szCs w:val="24"/>
        </w:rPr>
        <w:t>ing</w:t>
      </w:r>
      <w:r w:rsidRPr="00B01472">
        <w:rPr>
          <w:sz w:val="24"/>
          <w:szCs w:val="24"/>
        </w:rPr>
        <w:t xml:space="preserve"> 5 or more GCSE/GNVQs at grades A*-C (Level</w:t>
      </w:r>
      <w:r>
        <w:rPr>
          <w:sz w:val="24"/>
          <w:szCs w:val="24"/>
        </w:rPr>
        <w:t xml:space="preserve"> 2)</w:t>
      </w:r>
      <w:r w:rsidRPr="00B01472">
        <w:rPr>
          <w:sz w:val="24"/>
          <w:szCs w:val="24"/>
        </w:rPr>
        <w:t xml:space="preserve"> </w:t>
      </w:r>
      <w:r>
        <w:rPr>
          <w:sz w:val="24"/>
          <w:szCs w:val="24"/>
        </w:rPr>
        <w:t>and 3) a</w:t>
      </w:r>
      <w:r w:rsidRPr="00B01472">
        <w:rPr>
          <w:sz w:val="24"/>
          <w:szCs w:val="24"/>
        </w:rPr>
        <w:t>chiev</w:t>
      </w:r>
      <w:r>
        <w:rPr>
          <w:sz w:val="24"/>
          <w:szCs w:val="24"/>
        </w:rPr>
        <w:t xml:space="preserve">ing </w:t>
      </w:r>
      <w:r w:rsidRPr="009E651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5 or more GCSE and equivalents at grades A*-G </w:t>
      </w:r>
      <w:r w:rsidRPr="009E651A">
        <w:rPr>
          <w:color w:val="000000" w:themeColor="text1"/>
          <w:sz w:val="24"/>
          <w:szCs w:val="24"/>
        </w:rPr>
        <w:t>(Level 1)</w:t>
      </w:r>
      <w:r>
        <w:rPr>
          <w:sz w:val="24"/>
          <w:szCs w:val="24"/>
        </w:rPr>
        <w:t>.</w:t>
      </w:r>
    </w:p>
    <w:p w14:paraId="1F971F98" w14:textId="5452AF7B" w:rsidR="00B01472" w:rsidRPr="005D69F0" w:rsidRDefault="00B01472" w:rsidP="005D69F0">
      <w:pPr>
        <w:rPr>
          <w:sz w:val="24"/>
          <w:szCs w:val="24"/>
        </w:rPr>
      </w:pPr>
      <w:r>
        <w:rPr>
          <w:sz w:val="24"/>
          <w:szCs w:val="24"/>
        </w:rPr>
        <w:t>The secondary outcomes are</w:t>
      </w:r>
      <w:r w:rsidR="0076337F">
        <w:rPr>
          <w:sz w:val="24"/>
          <w:szCs w:val="24"/>
        </w:rPr>
        <w:t xml:space="preserve">: </w:t>
      </w:r>
      <w:r>
        <w:rPr>
          <w:sz w:val="24"/>
          <w:szCs w:val="24"/>
        </w:rPr>
        <w:t>2) a</w:t>
      </w:r>
      <w:r w:rsidRPr="00B01472">
        <w:rPr>
          <w:sz w:val="24"/>
          <w:szCs w:val="24"/>
        </w:rPr>
        <w:t>chiev</w:t>
      </w:r>
      <w:r>
        <w:rPr>
          <w:sz w:val="24"/>
          <w:szCs w:val="24"/>
        </w:rPr>
        <w:t>ing</w:t>
      </w:r>
      <w:r w:rsidRPr="00B01472">
        <w:rPr>
          <w:sz w:val="24"/>
          <w:szCs w:val="24"/>
        </w:rPr>
        <w:t xml:space="preserve"> 5 or more GCSE and equivalents at grades A*-C (Level 2) </w:t>
      </w:r>
      <w:r w:rsidR="003178DD" w:rsidRPr="009E651A">
        <w:rPr>
          <w:color w:val="000000" w:themeColor="text1"/>
          <w:sz w:val="24"/>
          <w:szCs w:val="24"/>
        </w:rPr>
        <w:t>incl</w:t>
      </w:r>
      <w:r w:rsidR="003178DD">
        <w:rPr>
          <w:color w:val="000000" w:themeColor="text1"/>
          <w:sz w:val="24"/>
          <w:szCs w:val="24"/>
        </w:rPr>
        <w:t>uding</w:t>
      </w:r>
      <w:r w:rsidR="003178DD" w:rsidRPr="00B01472">
        <w:rPr>
          <w:sz w:val="24"/>
          <w:szCs w:val="24"/>
        </w:rPr>
        <w:t xml:space="preserve"> </w:t>
      </w:r>
      <w:r w:rsidRPr="00B01472">
        <w:rPr>
          <w:sz w:val="24"/>
          <w:szCs w:val="24"/>
        </w:rPr>
        <w:t>English</w:t>
      </w:r>
      <w:r w:rsidR="003178DD">
        <w:rPr>
          <w:sz w:val="24"/>
          <w:szCs w:val="24"/>
        </w:rPr>
        <w:t>/</w:t>
      </w:r>
      <w:r w:rsidR="003178DD">
        <w:rPr>
          <w:color w:val="000000" w:themeColor="text1"/>
          <w:sz w:val="24"/>
          <w:szCs w:val="24"/>
        </w:rPr>
        <w:t>Welsh</w:t>
      </w:r>
      <w:r w:rsidRPr="00B01472">
        <w:rPr>
          <w:sz w:val="24"/>
          <w:szCs w:val="24"/>
        </w:rPr>
        <w:t xml:space="preserve"> and Maths</w:t>
      </w:r>
      <w:r w:rsidR="00203BB1">
        <w:rPr>
          <w:sz w:val="24"/>
          <w:szCs w:val="24"/>
        </w:rPr>
        <w:t xml:space="preserve"> as fundamental school subjects</w:t>
      </w:r>
      <w:r>
        <w:rPr>
          <w:sz w:val="24"/>
          <w:szCs w:val="24"/>
        </w:rPr>
        <w:t xml:space="preserve">; 4) </w:t>
      </w:r>
      <w:r w:rsidRPr="009E651A">
        <w:rPr>
          <w:color w:val="000000" w:themeColor="text1"/>
          <w:sz w:val="24"/>
          <w:szCs w:val="24"/>
        </w:rPr>
        <w:t>5 or more GCSE and equivalents at grades A*-G (Level 1)</w:t>
      </w:r>
      <w:r w:rsidR="003178DD" w:rsidRPr="003178DD">
        <w:rPr>
          <w:color w:val="000000" w:themeColor="text1"/>
          <w:sz w:val="24"/>
          <w:szCs w:val="24"/>
        </w:rPr>
        <w:t xml:space="preserve"> </w:t>
      </w:r>
      <w:r w:rsidR="003178DD" w:rsidRPr="009E651A">
        <w:rPr>
          <w:color w:val="000000" w:themeColor="text1"/>
          <w:sz w:val="24"/>
          <w:szCs w:val="24"/>
        </w:rPr>
        <w:t>incl</w:t>
      </w:r>
      <w:r w:rsidR="003178DD">
        <w:rPr>
          <w:color w:val="000000" w:themeColor="text1"/>
          <w:sz w:val="24"/>
          <w:szCs w:val="24"/>
        </w:rPr>
        <w:t>uding</w:t>
      </w:r>
      <w:r w:rsidRPr="009E651A">
        <w:rPr>
          <w:color w:val="000000" w:themeColor="text1"/>
          <w:sz w:val="24"/>
          <w:szCs w:val="24"/>
        </w:rPr>
        <w:t xml:space="preserve"> GCSE English</w:t>
      </w:r>
      <w:r w:rsidR="003178DD">
        <w:rPr>
          <w:color w:val="000000" w:themeColor="text1"/>
          <w:sz w:val="24"/>
          <w:szCs w:val="24"/>
        </w:rPr>
        <w:t>/</w:t>
      </w:r>
      <w:r w:rsidR="00C2224A">
        <w:rPr>
          <w:color w:val="000000" w:themeColor="text1"/>
          <w:sz w:val="24"/>
          <w:szCs w:val="24"/>
        </w:rPr>
        <w:t xml:space="preserve">Welsh </w:t>
      </w:r>
      <w:r w:rsidRPr="009E651A">
        <w:rPr>
          <w:color w:val="000000" w:themeColor="text1"/>
          <w:sz w:val="24"/>
          <w:szCs w:val="24"/>
        </w:rPr>
        <w:t>and Maths</w:t>
      </w:r>
      <w:r>
        <w:rPr>
          <w:color w:val="000000" w:themeColor="text1"/>
          <w:sz w:val="24"/>
          <w:szCs w:val="24"/>
        </w:rPr>
        <w:t>.</w:t>
      </w:r>
    </w:p>
    <w:p w14:paraId="03A3DBBF" w14:textId="77777777" w:rsidR="00D527F4" w:rsidRPr="009E651A" w:rsidRDefault="00D527F4" w:rsidP="00D527F4">
      <w:pPr>
        <w:rPr>
          <w:color w:val="0000FF"/>
          <w:sz w:val="24"/>
          <w:szCs w:val="24"/>
        </w:rPr>
      </w:pPr>
      <w:r w:rsidRPr="00D527F4">
        <w:rPr>
          <w:b/>
          <w:bCs/>
          <w:sz w:val="24"/>
          <w:szCs w:val="24"/>
        </w:rPr>
        <w:lastRenderedPageBreak/>
        <w:t xml:space="preserve">KS4 - </w:t>
      </w:r>
      <w:r w:rsidR="002332CF" w:rsidRPr="009E651A">
        <w:rPr>
          <w:b/>
          <w:bCs/>
          <w:color w:val="000000" w:themeColor="text1"/>
          <w:sz w:val="24"/>
          <w:szCs w:val="24"/>
        </w:rPr>
        <w:t>T</w:t>
      </w:r>
      <w:r w:rsidR="002332CF">
        <w:rPr>
          <w:b/>
          <w:bCs/>
          <w:color w:val="000000" w:themeColor="text1"/>
          <w:sz w:val="24"/>
          <w:szCs w:val="24"/>
        </w:rPr>
        <w:t>able</w:t>
      </w:r>
      <w:r w:rsidR="002332CF" w:rsidRPr="00D527F4">
        <w:rPr>
          <w:b/>
          <w:bCs/>
          <w:sz w:val="24"/>
          <w:szCs w:val="24"/>
        </w:rPr>
        <w:t xml:space="preserve"> </w:t>
      </w:r>
      <w:r w:rsidRPr="00D527F4">
        <w:rPr>
          <w:b/>
          <w:bCs/>
          <w:sz w:val="24"/>
          <w:szCs w:val="24"/>
        </w:rPr>
        <w:t xml:space="preserve">D. </w:t>
      </w:r>
      <w:r w:rsidRPr="009E651A">
        <w:rPr>
          <w:sz w:val="24"/>
          <w:szCs w:val="24"/>
        </w:rPr>
        <w:t xml:space="preserve">Logistic regression results on the association between sociodemographic factors and KS4 results (achieving 5 or more GCSE/GNVQs at grades A*-C) - </w:t>
      </w:r>
      <w:r w:rsidRPr="009E651A">
        <w:rPr>
          <w:color w:val="0000FF"/>
          <w:sz w:val="24"/>
          <w:szCs w:val="24"/>
        </w:rPr>
        <w:t>for children with congenital anomalies</w:t>
      </w:r>
      <w:r w:rsidR="000452D6" w:rsidRPr="009E651A">
        <w:rPr>
          <w:color w:val="0000FF"/>
          <w:sz w:val="24"/>
          <w:szCs w:val="24"/>
        </w:rPr>
        <w:t xml:space="preserve"> only</w:t>
      </w:r>
    </w:p>
    <w:p w14:paraId="4031D37A" w14:textId="77777777" w:rsidR="000452D6" w:rsidRPr="009E651A" w:rsidRDefault="000452D6" w:rsidP="000452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651A">
        <w:rPr>
          <w:sz w:val="24"/>
          <w:szCs w:val="24"/>
        </w:rPr>
        <w:t xml:space="preserve">Achieved 5 or more GCSE/GNVQs at grades A*-C </w:t>
      </w:r>
      <w:r w:rsidR="005A02A6" w:rsidRPr="009E651A">
        <w:rPr>
          <w:color w:val="000000" w:themeColor="text1"/>
          <w:sz w:val="24"/>
          <w:szCs w:val="24"/>
        </w:rPr>
        <w:t xml:space="preserve">(Level 2) </w:t>
      </w:r>
      <w:r w:rsidRPr="009E651A">
        <w:rPr>
          <w:sz w:val="24"/>
          <w:szCs w:val="24"/>
        </w:rPr>
        <w:t>(yes/no)</w:t>
      </w:r>
    </w:p>
    <w:p w14:paraId="528AC5C9" w14:textId="6A99D870" w:rsidR="000452D6" w:rsidRPr="009E651A" w:rsidRDefault="000452D6" w:rsidP="000452D6">
      <w:pPr>
        <w:rPr>
          <w:color w:val="0000FF"/>
          <w:sz w:val="24"/>
          <w:szCs w:val="24"/>
        </w:rPr>
      </w:pPr>
      <w:r w:rsidRPr="000452D6">
        <w:rPr>
          <w:b/>
          <w:bCs/>
          <w:sz w:val="24"/>
          <w:szCs w:val="24"/>
        </w:rPr>
        <w:t xml:space="preserve">KS4 - </w:t>
      </w:r>
      <w:r w:rsidR="002332CF" w:rsidRPr="009E651A">
        <w:rPr>
          <w:b/>
          <w:bCs/>
          <w:color w:val="000000" w:themeColor="text1"/>
          <w:sz w:val="24"/>
          <w:szCs w:val="24"/>
        </w:rPr>
        <w:t>T</w:t>
      </w:r>
      <w:r w:rsidR="002332CF">
        <w:rPr>
          <w:b/>
          <w:bCs/>
          <w:color w:val="000000" w:themeColor="text1"/>
          <w:sz w:val="24"/>
          <w:szCs w:val="24"/>
        </w:rPr>
        <w:t>able</w:t>
      </w:r>
      <w:r w:rsidR="002332CF" w:rsidRPr="000452D6">
        <w:rPr>
          <w:b/>
          <w:bCs/>
          <w:sz w:val="24"/>
          <w:szCs w:val="24"/>
        </w:rPr>
        <w:t xml:space="preserve"> </w:t>
      </w:r>
      <w:r w:rsidRPr="000452D6">
        <w:rPr>
          <w:b/>
          <w:bCs/>
          <w:sz w:val="24"/>
          <w:szCs w:val="24"/>
        </w:rPr>
        <w:t xml:space="preserve">E. </w:t>
      </w:r>
      <w:r w:rsidRPr="009E651A">
        <w:rPr>
          <w:sz w:val="24"/>
          <w:szCs w:val="24"/>
        </w:rPr>
        <w:t>Logistic regression results on the association between sociodemographic factors and KS4 results (achieving 5 or more GCSE and equivalents at grades A*-C including English</w:t>
      </w:r>
      <w:r w:rsidR="003178DD">
        <w:rPr>
          <w:sz w:val="24"/>
          <w:szCs w:val="24"/>
        </w:rPr>
        <w:t>/Welsh</w:t>
      </w:r>
      <w:r w:rsidRPr="009E651A">
        <w:rPr>
          <w:sz w:val="24"/>
          <w:szCs w:val="24"/>
        </w:rPr>
        <w:t xml:space="preserve"> and Maths) - </w:t>
      </w:r>
      <w:r w:rsidRPr="009E651A">
        <w:rPr>
          <w:color w:val="0000FF"/>
          <w:sz w:val="24"/>
          <w:szCs w:val="24"/>
        </w:rPr>
        <w:t>for children with congenital anomalies only</w:t>
      </w:r>
    </w:p>
    <w:p w14:paraId="30D2A163" w14:textId="6093834E" w:rsidR="000452D6" w:rsidRPr="009E651A" w:rsidRDefault="000452D6" w:rsidP="000452D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9E651A">
        <w:rPr>
          <w:color w:val="000000" w:themeColor="text1"/>
          <w:sz w:val="24"/>
          <w:szCs w:val="24"/>
        </w:rPr>
        <w:t>Achieved 5 or more GCSE and equivalents at grades A*-C (Level 2) incl</w:t>
      </w:r>
      <w:r w:rsidR="003178DD">
        <w:rPr>
          <w:color w:val="000000" w:themeColor="text1"/>
          <w:sz w:val="24"/>
          <w:szCs w:val="24"/>
        </w:rPr>
        <w:t>uding</w:t>
      </w:r>
      <w:r w:rsidRPr="009E651A">
        <w:rPr>
          <w:color w:val="000000" w:themeColor="text1"/>
          <w:sz w:val="24"/>
          <w:szCs w:val="24"/>
        </w:rPr>
        <w:t xml:space="preserve"> English</w:t>
      </w:r>
      <w:r w:rsidR="003178DD">
        <w:rPr>
          <w:color w:val="000000" w:themeColor="text1"/>
          <w:sz w:val="24"/>
          <w:szCs w:val="24"/>
        </w:rPr>
        <w:t>/</w:t>
      </w:r>
      <w:r w:rsidR="003F2216">
        <w:rPr>
          <w:color w:val="000000" w:themeColor="text1"/>
          <w:sz w:val="24"/>
          <w:szCs w:val="24"/>
        </w:rPr>
        <w:t xml:space="preserve">Welsh </w:t>
      </w:r>
      <w:r w:rsidRPr="009E651A">
        <w:rPr>
          <w:color w:val="000000" w:themeColor="text1"/>
          <w:sz w:val="24"/>
          <w:szCs w:val="24"/>
        </w:rPr>
        <w:t>and Maths) (yes/no)</w:t>
      </w:r>
    </w:p>
    <w:p w14:paraId="1B8625FD" w14:textId="77777777" w:rsidR="000452D6" w:rsidRPr="009E651A" w:rsidRDefault="000452D6" w:rsidP="000452D6">
      <w:pPr>
        <w:rPr>
          <w:color w:val="0000FF"/>
          <w:sz w:val="24"/>
          <w:szCs w:val="24"/>
        </w:rPr>
      </w:pPr>
      <w:r w:rsidRPr="000452D6">
        <w:rPr>
          <w:b/>
          <w:bCs/>
          <w:color w:val="000000" w:themeColor="text1"/>
          <w:sz w:val="24"/>
          <w:szCs w:val="24"/>
        </w:rPr>
        <w:t xml:space="preserve">KS4 - </w:t>
      </w:r>
      <w:r w:rsidR="002332CF" w:rsidRPr="009E651A">
        <w:rPr>
          <w:b/>
          <w:bCs/>
          <w:color w:val="000000" w:themeColor="text1"/>
          <w:sz w:val="24"/>
          <w:szCs w:val="24"/>
        </w:rPr>
        <w:t>T</w:t>
      </w:r>
      <w:r w:rsidR="002332CF">
        <w:rPr>
          <w:b/>
          <w:bCs/>
          <w:color w:val="000000" w:themeColor="text1"/>
          <w:sz w:val="24"/>
          <w:szCs w:val="24"/>
        </w:rPr>
        <w:t>able</w:t>
      </w:r>
      <w:r w:rsidR="002332CF" w:rsidRPr="000452D6">
        <w:rPr>
          <w:b/>
          <w:bCs/>
          <w:color w:val="000000" w:themeColor="text1"/>
          <w:sz w:val="24"/>
          <w:szCs w:val="24"/>
        </w:rPr>
        <w:t xml:space="preserve"> </w:t>
      </w:r>
      <w:r w:rsidRPr="000452D6">
        <w:rPr>
          <w:b/>
          <w:bCs/>
          <w:color w:val="000000" w:themeColor="text1"/>
          <w:sz w:val="24"/>
          <w:szCs w:val="24"/>
        </w:rPr>
        <w:t xml:space="preserve">F.  </w:t>
      </w:r>
      <w:r w:rsidRPr="009E651A">
        <w:rPr>
          <w:color w:val="000000" w:themeColor="text1"/>
          <w:sz w:val="24"/>
          <w:szCs w:val="24"/>
        </w:rPr>
        <w:t xml:space="preserve">Logistic regression results on the association between sociodemographic factors and KS4 results (achieving 5 or more GCSE and equivalents at grades A*-G) - </w:t>
      </w:r>
      <w:r w:rsidRPr="009E651A">
        <w:rPr>
          <w:color w:val="0000FF"/>
          <w:sz w:val="24"/>
          <w:szCs w:val="24"/>
        </w:rPr>
        <w:t>for children with congenital anomalies only</w:t>
      </w:r>
    </w:p>
    <w:p w14:paraId="046C1848" w14:textId="77777777" w:rsidR="000452D6" w:rsidRPr="009E651A" w:rsidRDefault="000452D6" w:rsidP="000452D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9E651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Achieved 5 or more GCSE and equivalents at grades A*-G </w:t>
      </w:r>
      <w:r w:rsidR="005A02A6" w:rsidRPr="009E651A">
        <w:rPr>
          <w:color w:val="000000" w:themeColor="text1"/>
          <w:sz w:val="24"/>
          <w:szCs w:val="24"/>
        </w:rPr>
        <w:t xml:space="preserve">(Level 1) </w:t>
      </w:r>
      <w:r w:rsidRPr="009E651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(yes/no)</w:t>
      </w:r>
    </w:p>
    <w:p w14:paraId="41EC2C91" w14:textId="77777777" w:rsidR="000452D6" w:rsidRDefault="000452D6" w:rsidP="000452D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</w:p>
    <w:p w14:paraId="1C76892D" w14:textId="0A3F36A7" w:rsidR="000452D6" w:rsidRPr="009E651A" w:rsidRDefault="000452D6" w:rsidP="000452D6">
      <w:pPr>
        <w:rPr>
          <w:color w:val="0000FF"/>
          <w:sz w:val="24"/>
          <w:szCs w:val="24"/>
        </w:rPr>
      </w:pPr>
      <w:r w:rsidRPr="000452D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KS4 -T</w:t>
      </w:r>
      <w:r w:rsidR="002332CF">
        <w:rPr>
          <w:b/>
          <w:bCs/>
          <w:color w:val="000000" w:themeColor="text1"/>
          <w:sz w:val="24"/>
          <w:szCs w:val="24"/>
        </w:rPr>
        <w:t>able</w:t>
      </w:r>
      <w:r w:rsidR="002332CF" w:rsidRPr="000452D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0452D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G. </w:t>
      </w:r>
      <w:r w:rsidRPr="009E651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Logistic regression results on the association between sociodemographic factors and KS4 results (achieving 5 or more GCSE and equivalents at grades A*-G including English</w:t>
      </w:r>
      <w:r w:rsidR="003178D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/Welsh</w:t>
      </w:r>
      <w:r w:rsidRPr="009E651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and Maths) - </w:t>
      </w:r>
      <w:r w:rsidRPr="009E651A">
        <w:rPr>
          <w:color w:val="0000FF"/>
          <w:sz w:val="24"/>
          <w:szCs w:val="24"/>
        </w:rPr>
        <w:t>for children with congenital anomalies only</w:t>
      </w:r>
    </w:p>
    <w:p w14:paraId="0A79364D" w14:textId="4408C2AD" w:rsidR="000452D6" w:rsidRPr="009E651A" w:rsidRDefault="000452D6" w:rsidP="000452D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9E651A">
        <w:rPr>
          <w:color w:val="000000" w:themeColor="text1"/>
          <w:sz w:val="24"/>
          <w:szCs w:val="24"/>
        </w:rPr>
        <w:t>Achieved 5 or more GCSE and equivalents at grades A*-G (Level 1) incl</w:t>
      </w:r>
      <w:r w:rsidR="003178DD">
        <w:rPr>
          <w:color w:val="000000" w:themeColor="text1"/>
          <w:sz w:val="24"/>
          <w:szCs w:val="24"/>
        </w:rPr>
        <w:t>uding</w:t>
      </w:r>
      <w:r w:rsidRPr="009E651A">
        <w:rPr>
          <w:color w:val="000000" w:themeColor="text1"/>
          <w:sz w:val="24"/>
          <w:szCs w:val="24"/>
        </w:rPr>
        <w:t xml:space="preserve"> GCSE English</w:t>
      </w:r>
      <w:r w:rsidR="003178DD">
        <w:rPr>
          <w:color w:val="000000" w:themeColor="text1"/>
          <w:sz w:val="24"/>
          <w:szCs w:val="24"/>
        </w:rPr>
        <w:t>/</w:t>
      </w:r>
      <w:r w:rsidR="003F2216">
        <w:rPr>
          <w:color w:val="000000" w:themeColor="text1"/>
          <w:sz w:val="24"/>
          <w:szCs w:val="24"/>
        </w:rPr>
        <w:t>Welsh</w:t>
      </w:r>
      <w:r w:rsidRPr="009E651A">
        <w:rPr>
          <w:color w:val="000000" w:themeColor="text1"/>
          <w:sz w:val="24"/>
          <w:szCs w:val="24"/>
        </w:rPr>
        <w:t xml:space="preserve"> and Maths (yes/no)</w:t>
      </w:r>
    </w:p>
    <w:p w14:paraId="6724EF3A" w14:textId="77777777" w:rsidR="000452D6" w:rsidRPr="00AC4A67" w:rsidRDefault="000452D6" w:rsidP="000452D6">
      <w:pPr>
        <w:rPr>
          <w:b/>
          <w:bCs/>
          <w:sz w:val="24"/>
          <w:szCs w:val="24"/>
        </w:rPr>
      </w:pPr>
    </w:p>
    <w:p w14:paraId="0EFA7A4F" w14:textId="27B1DCC1" w:rsidR="00BA6807" w:rsidRDefault="00AC4A67" w:rsidP="00AC4A67">
      <w:pPr>
        <w:rPr>
          <w:sz w:val="24"/>
          <w:szCs w:val="24"/>
        </w:rPr>
      </w:pPr>
      <w:r>
        <w:rPr>
          <w:sz w:val="24"/>
          <w:szCs w:val="24"/>
        </w:rPr>
        <w:t xml:space="preserve">Last KS4 table (KS4 </w:t>
      </w:r>
      <w:r w:rsidR="002332CF">
        <w:rPr>
          <w:sz w:val="24"/>
          <w:szCs w:val="24"/>
        </w:rPr>
        <w:t>–</w:t>
      </w:r>
      <w:r>
        <w:rPr>
          <w:sz w:val="24"/>
          <w:szCs w:val="24"/>
        </w:rPr>
        <w:t xml:space="preserve"> T</w:t>
      </w:r>
      <w:r w:rsidR="002332CF">
        <w:rPr>
          <w:sz w:val="24"/>
          <w:szCs w:val="24"/>
        </w:rPr>
        <w:t xml:space="preserve">able </w:t>
      </w:r>
      <w:r>
        <w:rPr>
          <w:sz w:val="24"/>
          <w:szCs w:val="24"/>
        </w:rPr>
        <w:t xml:space="preserve">H) compares the percentage of children receiving special education support </w:t>
      </w:r>
      <w:r w:rsidR="009A08D7">
        <w:rPr>
          <w:sz w:val="24"/>
          <w:szCs w:val="24"/>
        </w:rPr>
        <w:t xml:space="preserve">at KS4 tests </w:t>
      </w:r>
      <w:r>
        <w:rPr>
          <w:sz w:val="24"/>
          <w:szCs w:val="24"/>
        </w:rPr>
        <w:t xml:space="preserve">between children with a specific CA </w:t>
      </w:r>
      <w:r w:rsidR="00266B2D">
        <w:rPr>
          <w:sz w:val="24"/>
          <w:szCs w:val="24"/>
        </w:rPr>
        <w:t xml:space="preserve">and referent children (as given in </w:t>
      </w:r>
      <w:r w:rsidR="00BA6807">
        <w:rPr>
          <w:sz w:val="24"/>
          <w:szCs w:val="24"/>
        </w:rPr>
        <w:t>KS4_TH_1</w:t>
      </w:r>
      <w:r>
        <w:rPr>
          <w:sz w:val="24"/>
          <w:szCs w:val="24"/>
        </w:rPr>
        <w:t xml:space="preserve">). </w:t>
      </w:r>
    </w:p>
    <w:p w14:paraId="3A32F44D" w14:textId="29EB99A0" w:rsidR="00AC4A67" w:rsidRDefault="00AC4A67" w:rsidP="00AC4A67">
      <w:pPr>
        <w:rPr>
          <w:sz w:val="24"/>
          <w:szCs w:val="24"/>
        </w:rPr>
      </w:pPr>
      <w:r>
        <w:rPr>
          <w:sz w:val="24"/>
          <w:szCs w:val="24"/>
        </w:rPr>
        <w:t xml:space="preserve">For those with documented </w:t>
      </w:r>
      <w:r w:rsidRPr="006D7102">
        <w:rPr>
          <w:sz w:val="24"/>
          <w:szCs w:val="24"/>
        </w:rPr>
        <w:t xml:space="preserve">Special Education Needs </w:t>
      </w:r>
      <w:r>
        <w:rPr>
          <w:sz w:val="24"/>
          <w:szCs w:val="24"/>
        </w:rPr>
        <w:t xml:space="preserve">(SEN), </w:t>
      </w:r>
      <w:r w:rsidR="00BA6807">
        <w:rPr>
          <w:sz w:val="24"/>
          <w:szCs w:val="24"/>
        </w:rPr>
        <w:t>KS4_</w:t>
      </w:r>
      <w:r>
        <w:rPr>
          <w:sz w:val="24"/>
          <w:szCs w:val="24"/>
        </w:rPr>
        <w:t>T</w:t>
      </w:r>
      <w:r w:rsidR="002332CF">
        <w:rPr>
          <w:sz w:val="24"/>
          <w:szCs w:val="24"/>
        </w:rPr>
        <w:t>H_</w:t>
      </w:r>
      <w:r>
        <w:rPr>
          <w:sz w:val="24"/>
          <w:szCs w:val="24"/>
        </w:rPr>
        <w:t xml:space="preserve">2 provides the number and the percentage of children with specific SEN type for cases and </w:t>
      </w:r>
      <w:r w:rsidR="00266B2D" w:rsidRPr="007B66A5">
        <w:rPr>
          <w:rFonts w:cstheme="minorHAnsi"/>
          <w:sz w:val="24"/>
          <w:szCs w:val="24"/>
        </w:rPr>
        <w:t>referent children</w:t>
      </w:r>
      <w:r w:rsidR="00266B2D">
        <w:rPr>
          <w:sz w:val="24"/>
          <w:szCs w:val="24"/>
        </w:rPr>
        <w:t xml:space="preserve"> </w:t>
      </w:r>
    </w:p>
    <w:p w14:paraId="4FD31260" w14:textId="6DF04331" w:rsidR="009E651A" w:rsidRPr="00E270F6" w:rsidRDefault="009E651A" w:rsidP="000452D6">
      <w:pPr>
        <w:rPr>
          <w:sz w:val="24"/>
          <w:szCs w:val="24"/>
        </w:rPr>
      </w:pPr>
      <w:r w:rsidRPr="009E651A">
        <w:rPr>
          <w:b/>
          <w:bCs/>
          <w:color w:val="000000" w:themeColor="text1"/>
          <w:sz w:val="24"/>
          <w:szCs w:val="24"/>
        </w:rPr>
        <w:t xml:space="preserve">KS4 </w:t>
      </w:r>
      <w:r w:rsidR="002332CF">
        <w:rPr>
          <w:b/>
          <w:bCs/>
          <w:color w:val="000000" w:themeColor="text1"/>
          <w:sz w:val="24"/>
          <w:szCs w:val="24"/>
        </w:rPr>
        <w:t>–</w:t>
      </w:r>
      <w:r w:rsidRPr="009E651A">
        <w:rPr>
          <w:b/>
          <w:bCs/>
          <w:color w:val="000000" w:themeColor="text1"/>
          <w:sz w:val="24"/>
          <w:szCs w:val="24"/>
        </w:rPr>
        <w:t xml:space="preserve"> T</w:t>
      </w:r>
      <w:r w:rsidR="002332CF">
        <w:rPr>
          <w:b/>
          <w:bCs/>
          <w:color w:val="000000" w:themeColor="text1"/>
          <w:sz w:val="24"/>
          <w:szCs w:val="24"/>
        </w:rPr>
        <w:t xml:space="preserve">able </w:t>
      </w:r>
      <w:r w:rsidRPr="009E651A">
        <w:rPr>
          <w:b/>
          <w:bCs/>
          <w:color w:val="000000" w:themeColor="text1"/>
          <w:sz w:val="24"/>
          <w:szCs w:val="24"/>
        </w:rPr>
        <w:t xml:space="preserve">H. </w:t>
      </w:r>
      <w:r w:rsidRPr="009E651A">
        <w:rPr>
          <w:color w:val="000000" w:themeColor="text1"/>
          <w:sz w:val="24"/>
          <w:szCs w:val="24"/>
        </w:rPr>
        <w:t xml:space="preserve">Special Education Needs (SEN) at KS4 tests and by SEN type if SEN identified for linked children with congenital anomalies by anomaly subgroup </w:t>
      </w:r>
      <w:r w:rsidR="005A02A6">
        <w:rPr>
          <w:color w:val="000000" w:themeColor="text1"/>
          <w:sz w:val="24"/>
          <w:szCs w:val="24"/>
        </w:rPr>
        <w:t>compared to</w:t>
      </w:r>
      <w:r w:rsidRPr="009E651A">
        <w:rPr>
          <w:color w:val="000000" w:themeColor="text1"/>
          <w:sz w:val="24"/>
          <w:szCs w:val="24"/>
        </w:rPr>
        <w:t xml:space="preserve"> </w:t>
      </w:r>
      <w:r w:rsidR="00266B2D" w:rsidRPr="007B66A5">
        <w:rPr>
          <w:rFonts w:cstheme="minorHAnsi"/>
          <w:sz w:val="24"/>
          <w:szCs w:val="24"/>
        </w:rPr>
        <w:t>referent children</w:t>
      </w:r>
      <w:r w:rsidR="00E270F6" w:rsidRPr="00E270F6">
        <w:rPr>
          <w:sz w:val="24"/>
          <w:szCs w:val="24"/>
        </w:rPr>
        <w:t>.</w:t>
      </w:r>
    </w:p>
    <w:p w14:paraId="6F74D5FF" w14:textId="77777777" w:rsidR="00BA6807" w:rsidRDefault="00BA6807" w:rsidP="00BA6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NPD data, u</w:t>
      </w:r>
      <w:r w:rsidRPr="004D615D">
        <w:rPr>
          <w:rFonts w:cstheme="minorHAnsi"/>
          <w:sz w:val="24"/>
          <w:szCs w:val="24"/>
        </w:rPr>
        <w:t xml:space="preserve">ntil 2014, </w:t>
      </w:r>
      <w:r>
        <w:rPr>
          <w:rFonts w:cstheme="minorHAnsi"/>
          <w:sz w:val="24"/>
          <w:szCs w:val="24"/>
        </w:rPr>
        <w:t xml:space="preserve">SEN type </w:t>
      </w:r>
      <w:r w:rsidRPr="004D615D">
        <w:rPr>
          <w:rFonts w:cstheme="minorHAnsi"/>
          <w:sz w:val="24"/>
          <w:szCs w:val="24"/>
        </w:rPr>
        <w:t>include</w:t>
      </w:r>
      <w:r>
        <w:rPr>
          <w:rFonts w:cstheme="minorHAnsi"/>
          <w:sz w:val="24"/>
          <w:szCs w:val="24"/>
        </w:rPr>
        <w:t>d</w:t>
      </w:r>
      <w:r w:rsidRPr="004D615D">
        <w:rPr>
          <w:rFonts w:cstheme="minorHAnsi"/>
          <w:sz w:val="24"/>
          <w:szCs w:val="24"/>
        </w:rPr>
        <w:t xml:space="preserve"> pupils at school action plus and those pupils with a statement of SEN, but not those pupils at school action. From 2015, this includes pupils on SEN support or with a statement of SEN or EHC plan.</w:t>
      </w:r>
    </w:p>
    <w:p w14:paraId="704291C4" w14:textId="77777777" w:rsidR="00AC4A67" w:rsidRDefault="00AC4A67" w:rsidP="00AC4A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DF0F67" w14:textId="4607D50D" w:rsidR="00AC4A67" w:rsidRDefault="00AC4A67" w:rsidP="00AC4A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(UNEW) are going then to test the difference</w:t>
      </w:r>
      <w:r w:rsidR="00015C0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between cases and </w:t>
      </w:r>
      <w:r w:rsidR="007C5557">
        <w:rPr>
          <w:rFonts w:cstheme="minorHAnsi"/>
          <w:sz w:val="24"/>
          <w:szCs w:val="24"/>
        </w:rPr>
        <w:t>referent</w:t>
      </w:r>
      <w:r>
        <w:rPr>
          <w:rFonts w:cstheme="minorHAnsi"/>
          <w:sz w:val="24"/>
          <w:szCs w:val="24"/>
        </w:rPr>
        <w:t>s by calculating relative risks by a CA subgroup.</w:t>
      </w:r>
    </w:p>
    <w:p w14:paraId="4D50E845" w14:textId="33EB7B28" w:rsidR="00D6389C" w:rsidRDefault="00D6389C" w:rsidP="00AC4A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804CF8" w14:textId="2A5F6C7B" w:rsidR="000C1CAF" w:rsidRPr="000C1CAF" w:rsidRDefault="000C1CAF" w:rsidP="006A1046">
      <w:pPr>
        <w:pageBreakBefore/>
        <w:rPr>
          <w:b/>
          <w:bCs/>
          <w:color w:val="000000" w:themeColor="text1"/>
          <w:sz w:val="24"/>
          <w:szCs w:val="24"/>
        </w:rPr>
      </w:pPr>
      <w:r w:rsidRPr="000C1CAF">
        <w:rPr>
          <w:b/>
          <w:bCs/>
          <w:color w:val="000000" w:themeColor="text1"/>
          <w:sz w:val="24"/>
          <w:szCs w:val="24"/>
        </w:rPr>
        <w:lastRenderedPageBreak/>
        <w:t>References</w:t>
      </w:r>
    </w:p>
    <w:p w14:paraId="5203C087" w14:textId="77777777" w:rsidR="00195665" w:rsidRPr="00195665" w:rsidRDefault="000C1CAF" w:rsidP="00195665">
      <w:pPr>
        <w:pStyle w:val="EndNoteBibliography"/>
        <w:spacing w:after="0"/>
        <w:ind w:left="720" w:hanging="720"/>
      </w:pPr>
      <w:r>
        <w:rPr>
          <w:color w:val="000000" w:themeColor="text1"/>
          <w:sz w:val="24"/>
          <w:szCs w:val="24"/>
        </w:rPr>
        <w:fldChar w:fldCharType="begin"/>
      </w:r>
      <w:r>
        <w:rPr>
          <w:color w:val="000000" w:themeColor="text1"/>
          <w:sz w:val="24"/>
          <w:szCs w:val="24"/>
        </w:rPr>
        <w:instrText xml:space="preserve"> ADDIN EN.REFLIST </w:instrText>
      </w:r>
      <w:r>
        <w:rPr>
          <w:color w:val="000000" w:themeColor="text1"/>
          <w:sz w:val="24"/>
          <w:szCs w:val="24"/>
        </w:rPr>
        <w:fldChar w:fldCharType="separate"/>
      </w:r>
      <w:r w:rsidR="00195665" w:rsidRPr="00195665">
        <w:rPr>
          <w:b/>
        </w:rPr>
        <w:t>1</w:t>
      </w:r>
      <w:r w:rsidR="00195665" w:rsidRPr="00195665">
        <w:t>.</w:t>
      </w:r>
      <w:r w:rsidR="00195665" w:rsidRPr="00195665">
        <w:tab/>
        <w:t xml:space="preserve">EUROCAT. Chapter 3.4: Multiple Congenital Anomaly Algorithm (version 19.11.2014). In: </w:t>
      </w:r>
      <w:r w:rsidR="00195665" w:rsidRPr="00195665">
        <w:rPr>
          <w:i/>
        </w:rPr>
        <w:t>EUROCAT Guide 1.4: Instruction for the registration of congenital anomalies (Last update version 20/12/2016).</w:t>
      </w:r>
      <w:r w:rsidR="00195665" w:rsidRPr="00195665">
        <w:t xml:space="preserve"> Newtownabbey, UK: EUROCAT Central Registry, University of Ulster; 2013.</w:t>
      </w:r>
    </w:p>
    <w:p w14:paraId="7D499DD8" w14:textId="77777777" w:rsidR="00195665" w:rsidRPr="00195665" w:rsidRDefault="00195665" w:rsidP="00195665">
      <w:pPr>
        <w:pStyle w:val="EndNoteBibliography"/>
        <w:spacing w:after="0"/>
        <w:ind w:left="720" w:hanging="720"/>
      </w:pPr>
      <w:r w:rsidRPr="00195665">
        <w:rPr>
          <w:b/>
        </w:rPr>
        <w:t>2</w:t>
      </w:r>
      <w:r w:rsidRPr="00195665">
        <w:t>.</w:t>
      </w:r>
      <w:r w:rsidRPr="00195665">
        <w:tab/>
        <w:t xml:space="preserve">Garne E, Dolk H, Loane M, et al. Paper 5: Surveillance of multiple congenital anomalies: implementation of a computer algorithm in European registers for classification of cases. </w:t>
      </w:r>
      <w:r w:rsidRPr="00195665">
        <w:rPr>
          <w:i/>
        </w:rPr>
        <w:t xml:space="preserve">Birth defects research Part A, Clinical and molecular teratology. </w:t>
      </w:r>
      <w:r w:rsidRPr="00195665">
        <w:t>2011;91 Suppl 1:S44-50. doi: 10.1002/bdra.20777</w:t>
      </w:r>
    </w:p>
    <w:p w14:paraId="159D60B6" w14:textId="2A7B4642" w:rsidR="00195665" w:rsidRPr="00195665" w:rsidRDefault="00195665" w:rsidP="00195665">
      <w:pPr>
        <w:pStyle w:val="EndNoteBibliography"/>
        <w:spacing w:after="0"/>
        <w:ind w:left="720" w:hanging="720"/>
      </w:pPr>
      <w:r w:rsidRPr="00195665">
        <w:rPr>
          <w:b/>
        </w:rPr>
        <w:t>3</w:t>
      </w:r>
      <w:r w:rsidRPr="00195665">
        <w:t>.</w:t>
      </w:r>
      <w:r w:rsidRPr="00195665">
        <w:tab/>
        <w:t xml:space="preserve">Gartner A, Lester N. Briefing paper on LSOA Townsend deprivation scores calculated from unadjusted Census data. 2008. </w:t>
      </w:r>
      <w:hyperlink r:id="rId8" w:history="1">
        <w:r w:rsidRPr="00195665">
          <w:rPr>
            <w:rStyle w:val="Hyperlink"/>
          </w:rPr>
          <w:t>http://www2.nphs.wales.nhs.uk:8080/hiatdocs.nsf/85c50756737f79ac80256f2700534ea3/17fdbca9920051368025772f003b5a35/$FILE/TownsendBriefing.pdf</w:t>
        </w:r>
      </w:hyperlink>
      <w:r w:rsidRPr="00195665">
        <w:t>. Accessed 09/03/2021.</w:t>
      </w:r>
    </w:p>
    <w:p w14:paraId="30C1A5E0" w14:textId="77777777" w:rsidR="00195665" w:rsidRPr="00195665" w:rsidRDefault="00195665" w:rsidP="00195665">
      <w:pPr>
        <w:pStyle w:val="EndNoteBibliography"/>
        <w:ind w:left="720" w:hanging="720"/>
      </w:pPr>
      <w:r w:rsidRPr="00195665">
        <w:rPr>
          <w:b/>
        </w:rPr>
        <w:t>4</w:t>
      </w:r>
      <w:r w:rsidRPr="00195665">
        <w:t>.</w:t>
      </w:r>
      <w:r w:rsidRPr="00195665">
        <w:tab/>
        <w:t xml:space="preserve">Townsend P, Phillimore P, Beattie A. </w:t>
      </w:r>
      <w:r w:rsidRPr="00195665">
        <w:rPr>
          <w:i/>
        </w:rPr>
        <w:t>Health and Deprivation: Inequality and the North.</w:t>
      </w:r>
      <w:r w:rsidRPr="00195665">
        <w:t xml:space="preserve"> London: Routledge; 1988.</w:t>
      </w:r>
    </w:p>
    <w:p w14:paraId="49A1BFB4" w14:textId="47D31A71" w:rsidR="007E652B" w:rsidRDefault="000C1CAF" w:rsidP="00AC4A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end"/>
      </w:r>
    </w:p>
    <w:p w14:paraId="05E70B66" w14:textId="77777777" w:rsidR="007E652B" w:rsidRPr="009D5FA0" w:rsidRDefault="007E652B" w:rsidP="007E652B">
      <w:pPr>
        <w:pageBreakBefore/>
        <w:autoSpaceDE w:val="0"/>
        <w:autoSpaceDN w:val="0"/>
        <w:adjustRightInd w:val="0"/>
        <w:spacing w:after="0" w:line="240" w:lineRule="auto"/>
        <w:jc w:val="center"/>
        <w:rPr>
          <w:sz w:val="28"/>
          <w:szCs w:val="24"/>
        </w:rPr>
      </w:pPr>
      <w:r>
        <w:rPr>
          <w:b/>
          <w:sz w:val="28"/>
          <w:szCs w:val="24"/>
        </w:rPr>
        <w:lastRenderedPageBreak/>
        <w:t>Table 1.</w:t>
      </w:r>
      <w:r w:rsidRPr="009D5FA0">
        <w:rPr>
          <w:b/>
          <w:sz w:val="28"/>
          <w:szCs w:val="24"/>
        </w:rPr>
        <w:t xml:space="preserve">  </w:t>
      </w:r>
      <w:r w:rsidRPr="00B31349">
        <w:rPr>
          <w:b/>
          <w:sz w:val="28"/>
          <w:szCs w:val="24"/>
        </w:rPr>
        <w:t>Congenital anomaly subgroups to use in the WP</w:t>
      </w:r>
      <w:r>
        <w:rPr>
          <w:b/>
          <w:sz w:val="28"/>
          <w:szCs w:val="24"/>
        </w:rPr>
        <w:t>5 Education</w:t>
      </w:r>
      <w:r w:rsidRPr="00B31349">
        <w:rPr>
          <w:b/>
          <w:sz w:val="28"/>
          <w:szCs w:val="24"/>
        </w:rPr>
        <w:t xml:space="preserve"> analysis</w:t>
      </w:r>
    </w:p>
    <w:p w14:paraId="0BAD0B45" w14:textId="77777777" w:rsidR="007E652B" w:rsidRPr="00374F71" w:rsidRDefault="007E652B" w:rsidP="007E652B">
      <w:pPr>
        <w:jc w:val="center"/>
        <w:rPr>
          <w:b/>
          <w:bCs/>
        </w:rPr>
      </w:pPr>
      <w:r w:rsidRPr="00374F71">
        <w:rPr>
          <w:b/>
          <w:bCs/>
        </w:rPr>
        <w:t>(</w:t>
      </w:r>
      <w:proofErr w:type="gramStart"/>
      <w:r w:rsidRPr="00374F71">
        <w:rPr>
          <w:b/>
          <w:bCs/>
        </w:rPr>
        <w:t>based</w:t>
      </w:r>
      <w:proofErr w:type="gramEnd"/>
      <w:r w:rsidRPr="00374F71">
        <w:rPr>
          <w:b/>
          <w:bCs/>
        </w:rPr>
        <w:t xml:space="preserve"> on EUROCAT Subgroups of Congenital Anomalies (August 2016) with exclusions mentioned in </w:t>
      </w:r>
      <w:r>
        <w:rPr>
          <w:b/>
          <w:bCs/>
        </w:rPr>
        <w:t xml:space="preserve">chapters </w:t>
      </w:r>
      <w:r w:rsidRPr="00374F71">
        <w:rPr>
          <w:b/>
          <w:bCs/>
        </w:rPr>
        <w:t>3.2 and 3.3 in Guide 1.4)</w:t>
      </w:r>
    </w:p>
    <w:tbl>
      <w:tblPr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701"/>
        <w:gridCol w:w="1843"/>
      </w:tblGrid>
      <w:tr w:rsidR="007E652B" w:rsidRPr="00B5586F" w14:paraId="563441D1" w14:textId="77777777" w:rsidTr="00C91DB1">
        <w:tc>
          <w:tcPr>
            <w:tcW w:w="3119" w:type="dxa"/>
            <w:shd w:val="clear" w:color="auto" w:fill="8DB3E2"/>
          </w:tcPr>
          <w:p w14:paraId="7E944FB1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A6C9A">
              <w:rPr>
                <w:rFonts w:cstheme="minorHAnsi"/>
                <w:b/>
                <w:bCs/>
                <w:sz w:val="18"/>
                <w:szCs w:val="18"/>
              </w:rPr>
              <w:t>EUROCAT Subgroups</w:t>
            </w:r>
          </w:p>
        </w:tc>
        <w:tc>
          <w:tcPr>
            <w:tcW w:w="1276" w:type="dxa"/>
            <w:shd w:val="clear" w:color="auto" w:fill="8DB3E2"/>
          </w:tcPr>
          <w:p w14:paraId="1AC22FD7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A6C9A">
              <w:rPr>
                <w:rFonts w:cstheme="minorHAnsi"/>
                <w:b/>
                <w:bCs/>
                <w:sz w:val="18"/>
                <w:szCs w:val="18"/>
              </w:rPr>
              <w:t>ICD10-BPA</w:t>
            </w:r>
          </w:p>
        </w:tc>
        <w:tc>
          <w:tcPr>
            <w:tcW w:w="1276" w:type="dxa"/>
            <w:shd w:val="clear" w:color="auto" w:fill="8DB3E2"/>
          </w:tcPr>
          <w:p w14:paraId="26B20C5F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A6C9A">
              <w:rPr>
                <w:rFonts w:cstheme="minorHAnsi"/>
                <w:b/>
                <w:bCs/>
                <w:sz w:val="18"/>
                <w:szCs w:val="18"/>
              </w:rPr>
              <w:t>ICD9-BPA†</w:t>
            </w:r>
          </w:p>
        </w:tc>
        <w:tc>
          <w:tcPr>
            <w:tcW w:w="1701" w:type="dxa"/>
            <w:shd w:val="clear" w:color="auto" w:fill="8DB3E2"/>
          </w:tcPr>
          <w:p w14:paraId="17915402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A6C9A">
              <w:rPr>
                <w:rFonts w:cstheme="minorHAnsi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1843" w:type="dxa"/>
            <w:shd w:val="clear" w:color="auto" w:fill="8DB3E2"/>
          </w:tcPr>
          <w:p w14:paraId="3D508CBF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A6C9A">
              <w:rPr>
                <w:rFonts w:cstheme="minorHAnsi"/>
                <w:b/>
                <w:bCs/>
                <w:sz w:val="18"/>
                <w:szCs w:val="18"/>
              </w:rPr>
              <w:t>Subgroup binary variable number (al)</w:t>
            </w:r>
          </w:p>
        </w:tc>
      </w:tr>
      <w:tr w:rsidR="007E652B" w:rsidRPr="0021779F" w14:paraId="155212E8" w14:textId="77777777" w:rsidTr="00C91DB1">
        <w:tc>
          <w:tcPr>
            <w:tcW w:w="3119" w:type="dxa"/>
          </w:tcPr>
          <w:p w14:paraId="2DCDE53D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A6C9A">
              <w:rPr>
                <w:rFonts w:cstheme="minorHAnsi"/>
                <w:b/>
                <w:bCs/>
                <w:sz w:val="20"/>
                <w:szCs w:val="20"/>
              </w:rPr>
              <w:t>All anomalies *</w:t>
            </w:r>
          </w:p>
        </w:tc>
        <w:tc>
          <w:tcPr>
            <w:tcW w:w="1276" w:type="dxa"/>
          </w:tcPr>
          <w:p w14:paraId="4EE027BB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Q-chapter, D215, D821, D1810</w:t>
            </w:r>
            <w:r w:rsidRPr="000A6C9A">
              <w:rPr>
                <w:rFonts w:cstheme="minorHAnsi"/>
                <w:sz w:val="18"/>
                <w:szCs w:val="18"/>
                <w:vertAlign w:val="superscript"/>
              </w:rPr>
              <w:t>^</w:t>
            </w:r>
            <w:r w:rsidRPr="000A6C9A">
              <w:rPr>
                <w:rFonts w:cstheme="minorHAnsi"/>
                <w:sz w:val="18"/>
                <w:szCs w:val="18"/>
              </w:rPr>
              <w:t>, P350, P351, P371</w:t>
            </w:r>
          </w:p>
        </w:tc>
        <w:tc>
          <w:tcPr>
            <w:tcW w:w="1276" w:type="dxa"/>
          </w:tcPr>
          <w:p w14:paraId="08611138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74, 75, 27910, 2281</w:t>
            </w:r>
            <w:r w:rsidRPr="000A6C9A">
              <w:rPr>
                <w:rFonts w:cstheme="minorHAnsi"/>
                <w:sz w:val="18"/>
                <w:szCs w:val="18"/>
                <w:vertAlign w:val="superscript"/>
              </w:rPr>
              <w:t>^</w:t>
            </w:r>
            <w:r w:rsidRPr="000A6C9A">
              <w:rPr>
                <w:rFonts w:cstheme="minorHAnsi"/>
                <w:sz w:val="18"/>
                <w:szCs w:val="18"/>
              </w:rPr>
              <w:t>, 76076, 76280, 7710, 7711, 77121</w:t>
            </w:r>
          </w:p>
        </w:tc>
        <w:tc>
          <w:tcPr>
            <w:tcW w:w="1701" w:type="dxa"/>
          </w:tcPr>
          <w:p w14:paraId="0EDE547C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5BC2F0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</w:t>
            </w:r>
          </w:p>
        </w:tc>
      </w:tr>
      <w:tr w:rsidR="007E652B" w:rsidRPr="0021779F" w14:paraId="03A11E87" w14:textId="77777777" w:rsidTr="00C91DB1">
        <w:tc>
          <w:tcPr>
            <w:tcW w:w="3119" w:type="dxa"/>
          </w:tcPr>
          <w:p w14:paraId="08AC1E16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A6C9A">
              <w:rPr>
                <w:rFonts w:cstheme="minorHAnsi"/>
                <w:b/>
                <w:bCs/>
              </w:rPr>
              <w:t>Structural anomalies</w:t>
            </w:r>
          </w:p>
        </w:tc>
        <w:tc>
          <w:tcPr>
            <w:tcW w:w="1276" w:type="dxa"/>
          </w:tcPr>
          <w:p w14:paraId="4E0AE744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56FB2A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EE3D79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B8FBCF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652B" w:rsidRPr="0021779F" w14:paraId="3362EC1C" w14:textId="77777777" w:rsidTr="00C91DB1">
        <w:tc>
          <w:tcPr>
            <w:tcW w:w="3119" w:type="dxa"/>
          </w:tcPr>
          <w:p w14:paraId="571CCAED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   Spina Bifida</w:t>
            </w:r>
          </w:p>
        </w:tc>
        <w:tc>
          <w:tcPr>
            <w:tcW w:w="1276" w:type="dxa"/>
          </w:tcPr>
          <w:p w14:paraId="06A1D48C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Q05</w:t>
            </w:r>
          </w:p>
        </w:tc>
        <w:tc>
          <w:tcPr>
            <w:tcW w:w="1276" w:type="dxa"/>
          </w:tcPr>
          <w:p w14:paraId="0963A84C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741</w:t>
            </w:r>
          </w:p>
        </w:tc>
        <w:tc>
          <w:tcPr>
            <w:tcW w:w="1701" w:type="dxa"/>
          </w:tcPr>
          <w:p w14:paraId="4F3C303E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Exclude if associated with </w:t>
            </w:r>
            <w:proofErr w:type="spellStart"/>
            <w:r w:rsidRPr="000A6C9A">
              <w:rPr>
                <w:rFonts w:cstheme="minorHAnsi"/>
                <w:sz w:val="18"/>
                <w:szCs w:val="18"/>
              </w:rPr>
              <w:t>anencephalus</w:t>
            </w:r>
            <w:proofErr w:type="spellEnd"/>
            <w:r w:rsidRPr="000A6C9A">
              <w:rPr>
                <w:rFonts w:cstheme="minorHAnsi"/>
                <w:sz w:val="18"/>
                <w:szCs w:val="18"/>
              </w:rPr>
              <w:t xml:space="preserve"> or encephalocele subgroups</w:t>
            </w:r>
          </w:p>
        </w:tc>
        <w:tc>
          <w:tcPr>
            <w:tcW w:w="1843" w:type="dxa"/>
          </w:tcPr>
          <w:p w14:paraId="5313A30C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al6</w:t>
            </w:r>
          </w:p>
        </w:tc>
      </w:tr>
      <w:tr w:rsidR="007E652B" w:rsidRPr="0021779F" w14:paraId="2F1ADADB" w14:textId="77777777" w:rsidTr="00C91DB1">
        <w:tc>
          <w:tcPr>
            <w:tcW w:w="3119" w:type="dxa"/>
          </w:tcPr>
          <w:p w14:paraId="7508C576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Hydrocephalus</w:t>
            </w:r>
          </w:p>
        </w:tc>
        <w:tc>
          <w:tcPr>
            <w:tcW w:w="1276" w:type="dxa"/>
          </w:tcPr>
          <w:p w14:paraId="6C8C3128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Q03</w:t>
            </w:r>
          </w:p>
        </w:tc>
        <w:tc>
          <w:tcPr>
            <w:tcW w:w="1276" w:type="dxa"/>
          </w:tcPr>
          <w:p w14:paraId="5946BDF2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7423  </w:t>
            </w:r>
          </w:p>
        </w:tc>
        <w:tc>
          <w:tcPr>
            <w:tcW w:w="1701" w:type="dxa"/>
          </w:tcPr>
          <w:p w14:paraId="09F1D4D8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Exclude hydranencephaly 74232.  Exclude association with NTD subgroup</w:t>
            </w:r>
          </w:p>
        </w:tc>
        <w:tc>
          <w:tcPr>
            <w:tcW w:w="1843" w:type="dxa"/>
          </w:tcPr>
          <w:p w14:paraId="1D7F1379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al7</w:t>
            </w:r>
          </w:p>
        </w:tc>
      </w:tr>
      <w:tr w:rsidR="007E652B" w:rsidRPr="0021779F" w14:paraId="00A4224C" w14:textId="77777777" w:rsidTr="00C91DB1">
        <w:tc>
          <w:tcPr>
            <w:tcW w:w="3119" w:type="dxa"/>
          </w:tcPr>
          <w:p w14:paraId="344ACB7E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Congenital Heart Defects</w:t>
            </w:r>
          </w:p>
        </w:tc>
        <w:tc>
          <w:tcPr>
            <w:tcW w:w="1276" w:type="dxa"/>
          </w:tcPr>
          <w:p w14:paraId="346D62A3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Q20-Q26</w:t>
            </w:r>
          </w:p>
        </w:tc>
        <w:tc>
          <w:tcPr>
            <w:tcW w:w="1276" w:type="dxa"/>
          </w:tcPr>
          <w:p w14:paraId="636DD417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745, 746, 7470-7474</w:t>
            </w:r>
          </w:p>
        </w:tc>
        <w:tc>
          <w:tcPr>
            <w:tcW w:w="1701" w:type="dxa"/>
          </w:tcPr>
          <w:p w14:paraId="076E5E23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A6C9A">
              <w:rPr>
                <w:rFonts w:cstheme="minorHAnsi"/>
                <w:bCs/>
                <w:sz w:val="18"/>
                <w:szCs w:val="18"/>
              </w:rPr>
              <w:t xml:space="preserve">Exclude PDA with GA &lt;37 weeks </w:t>
            </w:r>
          </w:p>
          <w:p w14:paraId="301E07C8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Exclude peripheral pulmonary artery </w:t>
            </w:r>
            <w:proofErr w:type="gramStart"/>
            <w:r w:rsidRPr="000A6C9A">
              <w:rPr>
                <w:rFonts w:cstheme="minorHAnsi"/>
                <w:sz w:val="18"/>
                <w:szCs w:val="18"/>
              </w:rPr>
              <w:t>stenosis  with</w:t>
            </w:r>
            <w:proofErr w:type="gramEnd"/>
            <w:r w:rsidRPr="000A6C9A">
              <w:rPr>
                <w:rFonts w:cstheme="minorHAnsi"/>
                <w:sz w:val="18"/>
                <w:szCs w:val="18"/>
              </w:rPr>
              <w:t xml:space="preserve"> GA &lt; 37 weeks</w:t>
            </w:r>
          </w:p>
        </w:tc>
        <w:tc>
          <w:tcPr>
            <w:tcW w:w="1843" w:type="dxa"/>
          </w:tcPr>
          <w:p w14:paraId="0B1D5DCC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al17</w:t>
            </w:r>
          </w:p>
        </w:tc>
      </w:tr>
      <w:tr w:rsidR="007E652B" w:rsidRPr="0021779F" w14:paraId="50354493" w14:textId="77777777" w:rsidTr="00C91DB1">
        <w:tc>
          <w:tcPr>
            <w:tcW w:w="3119" w:type="dxa"/>
          </w:tcPr>
          <w:p w14:paraId="33C46027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Severe CHD</w:t>
            </w:r>
          </w:p>
        </w:tc>
        <w:tc>
          <w:tcPr>
            <w:tcW w:w="1276" w:type="dxa"/>
          </w:tcPr>
          <w:p w14:paraId="0FA987E5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Q200, Q201, Q203, Q204, Q212, Q213, Q220, Q224, Q225, Q226, Q230, Q232, Q233, Q234, Q251, Q252, Q262</w:t>
            </w:r>
          </w:p>
        </w:tc>
        <w:tc>
          <w:tcPr>
            <w:tcW w:w="1276" w:type="dxa"/>
          </w:tcPr>
          <w:p w14:paraId="75CF255B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74500, 74510, 7452, 7453, 7456, 7461, 7462, 74600, 7463, 7465, 7466, 7467, 7471, 74720, 74742</w:t>
            </w:r>
          </w:p>
        </w:tc>
        <w:tc>
          <w:tcPr>
            <w:tcW w:w="1701" w:type="dxa"/>
          </w:tcPr>
          <w:p w14:paraId="26D90F5B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iCs/>
                <w:sz w:val="18"/>
                <w:szCs w:val="18"/>
              </w:rPr>
              <w:t>ICD9-BPA has no code for HRH and double outlet right ventricle</w:t>
            </w:r>
          </w:p>
        </w:tc>
        <w:tc>
          <w:tcPr>
            <w:tcW w:w="1843" w:type="dxa"/>
          </w:tcPr>
          <w:p w14:paraId="702ED884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al97</w:t>
            </w:r>
          </w:p>
        </w:tc>
      </w:tr>
      <w:tr w:rsidR="007E652B" w:rsidRPr="0021779F" w14:paraId="68839B27" w14:textId="77777777" w:rsidTr="00C91DB1">
        <w:tc>
          <w:tcPr>
            <w:tcW w:w="3119" w:type="dxa"/>
          </w:tcPr>
          <w:p w14:paraId="2694A8B9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Transposition of great vessels</w:t>
            </w:r>
          </w:p>
        </w:tc>
        <w:tc>
          <w:tcPr>
            <w:tcW w:w="1276" w:type="dxa"/>
          </w:tcPr>
          <w:p w14:paraId="30199B92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Q203</w:t>
            </w:r>
          </w:p>
        </w:tc>
        <w:tc>
          <w:tcPr>
            <w:tcW w:w="1276" w:type="dxa"/>
          </w:tcPr>
          <w:p w14:paraId="61720C20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74510</w:t>
            </w:r>
          </w:p>
        </w:tc>
        <w:tc>
          <w:tcPr>
            <w:tcW w:w="1701" w:type="dxa"/>
          </w:tcPr>
          <w:p w14:paraId="6F480A87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C8D441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al19</w:t>
            </w:r>
          </w:p>
        </w:tc>
      </w:tr>
      <w:tr w:rsidR="007E652B" w:rsidRPr="0021779F" w14:paraId="15EC75F5" w14:textId="77777777" w:rsidTr="00C91DB1">
        <w:tc>
          <w:tcPr>
            <w:tcW w:w="3119" w:type="dxa"/>
          </w:tcPr>
          <w:p w14:paraId="1BE40355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VSD</w:t>
            </w:r>
          </w:p>
        </w:tc>
        <w:tc>
          <w:tcPr>
            <w:tcW w:w="1276" w:type="dxa"/>
          </w:tcPr>
          <w:p w14:paraId="15609764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Q210</w:t>
            </w:r>
          </w:p>
        </w:tc>
        <w:tc>
          <w:tcPr>
            <w:tcW w:w="1276" w:type="dxa"/>
          </w:tcPr>
          <w:p w14:paraId="359CA40E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7454</w:t>
            </w:r>
          </w:p>
        </w:tc>
        <w:tc>
          <w:tcPr>
            <w:tcW w:w="1701" w:type="dxa"/>
          </w:tcPr>
          <w:p w14:paraId="554E86ED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9B03C5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al21</w:t>
            </w:r>
          </w:p>
        </w:tc>
      </w:tr>
      <w:tr w:rsidR="007E652B" w:rsidRPr="0021779F" w14:paraId="71AA9779" w14:textId="77777777" w:rsidTr="00C91DB1">
        <w:tc>
          <w:tcPr>
            <w:tcW w:w="3119" w:type="dxa"/>
          </w:tcPr>
          <w:p w14:paraId="2B76063B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ASD</w:t>
            </w:r>
          </w:p>
        </w:tc>
        <w:tc>
          <w:tcPr>
            <w:tcW w:w="1276" w:type="dxa"/>
          </w:tcPr>
          <w:p w14:paraId="69D9D12F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Q211</w:t>
            </w:r>
          </w:p>
        </w:tc>
        <w:tc>
          <w:tcPr>
            <w:tcW w:w="1276" w:type="dxa"/>
          </w:tcPr>
          <w:p w14:paraId="643AEA6A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7455</w:t>
            </w:r>
          </w:p>
        </w:tc>
        <w:tc>
          <w:tcPr>
            <w:tcW w:w="1701" w:type="dxa"/>
          </w:tcPr>
          <w:p w14:paraId="433FC564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8461DA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al22</w:t>
            </w:r>
          </w:p>
        </w:tc>
      </w:tr>
      <w:tr w:rsidR="007E652B" w:rsidRPr="0021779F" w14:paraId="411B35DF" w14:textId="77777777" w:rsidTr="00C91DB1">
        <w:tc>
          <w:tcPr>
            <w:tcW w:w="3119" w:type="dxa"/>
          </w:tcPr>
          <w:p w14:paraId="3881EE67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Tetralogy of Fallot</w:t>
            </w:r>
          </w:p>
        </w:tc>
        <w:tc>
          <w:tcPr>
            <w:tcW w:w="1276" w:type="dxa"/>
          </w:tcPr>
          <w:p w14:paraId="6BA3A495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Q213</w:t>
            </w:r>
          </w:p>
        </w:tc>
        <w:tc>
          <w:tcPr>
            <w:tcW w:w="1276" w:type="dxa"/>
          </w:tcPr>
          <w:p w14:paraId="7FEDC6AF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7452</w:t>
            </w:r>
          </w:p>
        </w:tc>
        <w:tc>
          <w:tcPr>
            <w:tcW w:w="1701" w:type="dxa"/>
          </w:tcPr>
          <w:p w14:paraId="5FEC30C4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17BF86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al24</w:t>
            </w:r>
          </w:p>
        </w:tc>
      </w:tr>
      <w:tr w:rsidR="007E652B" w:rsidRPr="0021779F" w14:paraId="19CC5B86" w14:textId="77777777" w:rsidTr="00C91DB1">
        <w:tc>
          <w:tcPr>
            <w:tcW w:w="3119" w:type="dxa"/>
          </w:tcPr>
          <w:p w14:paraId="4BEE7CB6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Coarctation of aorta</w:t>
            </w:r>
          </w:p>
        </w:tc>
        <w:tc>
          <w:tcPr>
            <w:tcW w:w="1276" w:type="dxa"/>
          </w:tcPr>
          <w:p w14:paraId="173334A7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Q251</w:t>
            </w:r>
          </w:p>
        </w:tc>
        <w:tc>
          <w:tcPr>
            <w:tcW w:w="1276" w:type="dxa"/>
          </w:tcPr>
          <w:p w14:paraId="227798AD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7471</w:t>
            </w:r>
          </w:p>
        </w:tc>
        <w:tc>
          <w:tcPr>
            <w:tcW w:w="1701" w:type="dxa"/>
          </w:tcPr>
          <w:p w14:paraId="6128EC8D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07D6E7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al32</w:t>
            </w:r>
          </w:p>
        </w:tc>
      </w:tr>
      <w:tr w:rsidR="007E652B" w:rsidRPr="0021779F" w14:paraId="3138A5B8" w14:textId="77777777" w:rsidTr="00C91DB1">
        <w:tc>
          <w:tcPr>
            <w:tcW w:w="3119" w:type="dxa"/>
          </w:tcPr>
          <w:p w14:paraId="4FDFE40B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Cleft lip with or without cleft </w:t>
            </w:r>
          </w:p>
          <w:p w14:paraId="5B3C54F5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   palate</w:t>
            </w:r>
          </w:p>
        </w:tc>
        <w:tc>
          <w:tcPr>
            <w:tcW w:w="1276" w:type="dxa"/>
          </w:tcPr>
          <w:p w14:paraId="3494287A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Q36, Q37</w:t>
            </w:r>
          </w:p>
        </w:tc>
        <w:tc>
          <w:tcPr>
            <w:tcW w:w="1276" w:type="dxa"/>
          </w:tcPr>
          <w:p w14:paraId="32E19242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7491, 7492</w:t>
            </w:r>
          </w:p>
        </w:tc>
        <w:tc>
          <w:tcPr>
            <w:tcW w:w="1701" w:type="dxa"/>
          </w:tcPr>
          <w:p w14:paraId="12B4C1D3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7C78F2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al102</w:t>
            </w:r>
          </w:p>
        </w:tc>
      </w:tr>
      <w:tr w:rsidR="007E652B" w:rsidRPr="0021779F" w14:paraId="63F5F70A" w14:textId="77777777" w:rsidTr="00C91DB1">
        <w:tc>
          <w:tcPr>
            <w:tcW w:w="3119" w:type="dxa"/>
          </w:tcPr>
          <w:p w14:paraId="653A5A75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Cleft palate</w:t>
            </w:r>
          </w:p>
        </w:tc>
        <w:tc>
          <w:tcPr>
            <w:tcW w:w="1276" w:type="dxa"/>
          </w:tcPr>
          <w:p w14:paraId="0AAD39D0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Q35</w:t>
            </w:r>
          </w:p>
        </w:tc>
        <w:tc>
          <w:tcPr>
            <w:tcW w:w="1276" w:type="dxa"/>
          </w:tcPr>
          <w:p w14:paraId="328F84FB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7490</w:t>
            </w:r>
          </w:p>
        </w:tc>
        <w:tc>
          <w:tcPr>
            <w:tcW w:w="1701" w:type="dxa"/>
          </w:tcPr>
          <w:p w14:paraId="46ED4F4D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0806B4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al103</w:t>
            </w:r>
          </w:p>
        </w:tc>
      </w:tr>
      <w:tr w:rsidR="007E652B" w:rsidRPr="0021779F" w14:paraId="060CD32D" w14:textId="77777777" w:rsidTr="00C91DB1">
        <w:tc>
          <w:tcPr>
            <w:tcW w:w="3119" w:type="dxa"/>
          </w:tcPr>
          <w:p w14:paraId="6E1317B1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Oesophageal atresia with/ </w:t>
            </w:r>
            <w:proofErr w:type="gramStart"/>
            <w:r w:rsidRPr="000A6C9A">
              <w:rPr>
                <w:rFonts w:cstheme="minorHAnsi"/>
                <w:sz w:val="18"/>
                <w:szCs w:val="18"/>
              </w:rPr>
              <w:t>without  trachea</w:t>
            </w:r>
            <w:proofErr w:type="gramEnd"/>
            <w:r w:rsidRPr="000A6C9A">
              <w:rPr>
                <w:rFonts w:cstheme="minorHAnsi"/>
                <w:sz w:val="18"/>
                <w:szCs w:val="18"/>
              </w:rPr>
              <w:t>-oesophageal fistula</w:t>
            </w:r>
          </w:p>
        </w:tc>
        <w:tc>
          <w:tcPr>
            <w:tcW w:w="1276" w:type="dxa"/>
          </w:tcPr>
          <w:p w14:paraId="6D80D211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Q390-Q391</w:t>
            </w:r>
          </w:p>
        </w:tc>
        <w:tc>
          <w:tcPr>
            <w:tcW w:w="1276" w:type="dxa"/>
          </w:tcPr>
          <w:p w14:paraId="0207BE41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75030-75031</w:t>
            </w:r>
          </w:p>
        </w:tc>
        <w:tc>
          <w:tcPr>
            <w:tcW w:w="1701" w:type="dxa"/>
          </w:tcPr>
          <w:p w14:paraId="7E1A82A0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122B1D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al41</w:t>
            </w:r>
          </w:p>
        </w:tc>
      </w:tr>
      <w:tr w:rsidR="007E652B" w:rsidRPr="0021779F" w14:paraId="7E037E53" w14:textId="77777777" w:rsidTr="00C91DB1">
        <w:tc>
          <w:tcPr>
            <w:tcW w:w="3119" w:type="dxa"/>
          </w:tcPr>
          <w:p w14:paraId="350E1E72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A6C9A">
              <w:rPr>
                <w:rFonts w:cstheme="minorHAnsi"/>
                <w:sz w:val="18"/>
                <w:szCs w:val="18"/>
              </w:rPr>
              <w:t>Ano</w:t>
            </w:r>
            <w:proofErr w:type="spellEnd"/>
            <w:r w:rsidRPr="000A6C9A">
              <w:rPr>
                <w:rFonts w:cstheme="minorHAnsi"/>
                <w:sz w:val="18"/>
                <w:szCs w:val="18"/>
              </w:rPr>
              <w:t>-rectal atresia and stenosis</w:t>
            </w:r>
          </w:p>
        </w:tc>
        <w:tc>
          <w:tcPr>
            <w:tcW w:w="1276" w:type="dxa"/>
          </w:tcPr>
          <w:p w14:paraId="79B2BE9F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Q420-Q423</w:t>
            </w:r>
          </w:p>
        </w:tc>
        <w:tc>
          <w:tcPr>
            <w:tcW w:w="1276" w:type="dxa"/>
          </w:tcPr>
          <w:p w14:paraId="5947D757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75121-75124</w:t>
            </w:r>
          </w:p>
        </w:tc>
        <w:tc>
          <w:tcPr>
            <w:tcW w:w="1701" w:type="dxa"/>
          </w:tcPr>
          <w:p w14:paraId="341D0EEE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D290A2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al44</w:t>
            </w:r>
          </w:p>
        </w:tc>
      </w:tr>
      <w:tr w:rsidR="007E652B" w:rsidRPr="0021779F" w14:paraId="5E6E8CA5" w14:textId="77777777" w:rsidTr="00C91DB1">
        <w:tc>
          <w:tcPr>
            <w:tcW w:w="3119" w:type="dxa"/>
          </w:tcPr>
          <w:p w14:paraId="6712306F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Diaphragmatic hernia</w:t>
            </w:r>
          </w:p>
        </w:tc>
        <w:tc>
          <w:tcPr>
            <w:tcW w:w="1276" w:type="dxa"/>
          </w:tcPr>
          <w:p w14:paraId="3FD8FCF3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Q790</w:t>
            </w:r>
          </w:p>
        </w:tc>
        <w:tc>
          <w:tcPr>
            <w:tcW w:w="1276" w:type="dxa"/>
          </w:tcPr>
          <w:p w14:paraId="026CBBF7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75661</w:t>
            </w:r>
          </w:p>
        </w:tc>
        <w:tc>
          <w:tcPr>
            <w:tcW w:w="1701" w:type="dxa"/>
          </w:tcPr>
          <w:p w14:paraId="2073A35C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4ED5D9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al48</w:t>
            </w:r>
          </w:p>
        </w:tc>
      </w:tr>
      <w:tr w:rsidR="007E652B" w:rsidRPr="0021779F" w14:paraId="1A8E169A" w14:textId="77777777" w:rsidTr="00C91DB1">
        <w:tc>
          <w:tcPr>
            <w:tcW w:w="3119" w:type="dxa"/>
          </w:tcPr>
          <w:p w14:paraId="5216733A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Gastroschisis</w:t>
            </w:r>
          </w:p>
        </w:tc>
        <w:tc>
          <w:tcPr>
            <w:tcW w:w="1276" w:type="dxa"/>
          </w:tcPr>
          <w:p w14:paraId="424F5761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Q793</w:t>
            </w:r>
          </w:p>
        </w:tc>
        <w:tc>
          <w:tcPr>
            <w:tcW w:w="1276" w:type="dxa"/>
          </w:tcPr>
          <w:p w14:paraId="78D7FFDF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75671</w:t>
            </w:r>
          </w:p>
        </w:tc>
        <w:tc>
          <w:tcPr>
            <w:tcW w:w="1701" w:type="dxa"/>
          </w:tcPr>
          <w:p w14:paraId="118013D6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85BC19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al50</w:t>
            </w:r>
          </w:p>
        </w:tc>
      </w:tr>
      <w:tr w:rsidR="007E652B" w:rsidRPr="0021779F" w14:paraId="4E1AB967" w14:textId="77777777" w:rsidTr="00C91DB1">
        <w:tc>
          <w:tcPr>
            <w:tcW w:w="3119" w:type="dxa"/>
          </w:tcPr>
          <w:p w14:paraId="5805CDD0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A6C9A">
              <w:rPr>
                <w:rFonts w:cstheme="minorHAnsi"/>
                <w:sz w:val="18"/>
                <w:szCs w:val="18"/>
              </w:rPr>
              <w:t>Multicystic</w:t>
            </w:r>
            <w:proofErr w:type="spellEnd"/>
            <w:r w:rsidRPr="000A6C9A">
              <w:rPr>
                <w:rFonts w:cstheme="minorHAnsi"/>
                <w:sz w:val="18"/>
                <w:szCs w:val="18"/>
              </w:rPr>
              <w:t xml:space="preserve"> renal dysplasia</w:t>
            </w:r>
          </w:p>
        </w:tc>
        <w:tc>
          <w:tcPr>
            <w:tcW w:w="1276" w:type="dxa"/>
          </w:tcPr>
          <w:p w14:paraId="71B5836B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Q6140, Q6141</w:t>
            </w:r>
          </w:p>
        </w:tc>
        <w:tc>
          <w:tcPr>
            <w:tcW w:w="1276" w:type="dxa"/>
          </w:tcPr>
          <w:p w14:paraId="5B7F9E6C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75316</w:t>
            </w:r>
          </w:p>
        </w:tc>
        <w:tc>
          <w:tcPr>
            <w:tcW w:w="1701" w:type="dxa"/>
          </w:tcPr>
          <w:p w14:paraId="49ED8D7E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5A0912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al54</w:t>
            </w:r>
          </w:p>
        </w:tc>
      </w:tr>
      <w:tr w:rsidR="007E652B" w:rsidRPr="0021779F" w14:paraId="5351697E" w14:textId="77777777" w:rsidTr="00C91DB1">
        <w:tc>
          <w:tcPr>
            <w:tcW w:w="3119" w:type="dxa"/>
          </w:tcPr>
          <w:p w14:paraId="7247714B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Hypospadias</w:t>
            </w:r>
          </w:p>
        </w:tc>
        <w:tc>
          <w:tcPr>
            <w:tcW w:w="1276" w:type="dxa"/>
          </w:tcPr>
          <w:p w14:paraId="39D23206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Q54</w:t>
            </w:r>
          </w:p>
        </w:tc>
        <w:tc>
          <w:tcPr>
            <w:tcW w:w="1276" w:type="dxa"/>
          </w:tcPr>
          <w:p w14:paraId="4FD5D9AF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75260</w:t>
            </w:r>
          </w:p>
        </w:tc>
        <w:tc>
          <w:tcPr>
            <w:tcW w:w="1701" w:type="dxa"/>
          </w:tcPr>
          <w:p w14:paraId="5A0CEFAE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53CFA3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al59</w:t>
            </w:r>
          </w:p>
        </w:tc>
      </w:tr>
      <w:tr w:rsidR="007E652B" w:rsidRPr="0021779F" w14:paraId="524F717A" w14:textId="77777777" w:rsidTr="00C91DB1">
        <w:tc>
          <w:tcPr>
            <w:tcW w:w="3119" w:type="dxa"/>
          </w:tcPr>
          <w:p w14:paraId="7548F956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Limb reduction defects</w:t>
            </w:r>
          </w:p>
        </w:tc>
        <w:tc>
          <w:tcPr>
            <w:tcW w:w="1276" w:type="dxa"/>
          </w:tcPr>
          <w:p w14:paraId="0B924E08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Q71-Q73</w:t>
            </w:r>
          </w:p>
        </w:tc>
        <w:tc>
          <w:tcPr>
            <w:tcW w:w="1276" w:type="dxa"/>
          </w:tcPr>
          <w:p w14:paraId="06C85111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7552-7554</w:t>
            </w:r>
          </w:p>
        </w:tc>
        <w:tc>
          <w:tcPr>
            <w:tcW w:w="1701" w:type="dxa"/>
          </w:tcPr>
          <w:p w14:paraId="4DDAA994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A879A4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al62</w:t>
            </w:r>
          </w:p>
        </w:tc>
      </w:tr>
      <w:tr w:rsidR="007E652B" w:rsidRPr="0021779F" w14:paraId="3E6C73BE" w14:textId="77777777" w:rsidTr="00C91DB1">
        <w:tc>
          <w:tcPr>
            <w:tcW w:w="3119" w:type="dxa"/>
          </w:tcPr>
          <w:p w14:paraId="4CC13A8C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Craniosynostosis</w:t>
            </w:r>
          </w:p>
        </w:tc>
        <w:tc>
          <w:tcPr>
            <w:tcW w:w="1276" w:type="dxa"/>
          </w:tcPr>
          <w:p w14:paraId="2BEFF5E9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Q750</w:t>
            </w:r>
          </w:p>
        </w:tc>
        <w:tc>
          <w:tcPr>
            <w:tcW w:w="1276" w:type="dxa"/>
          </w:tcPr>
          <w:p w14:paraId="2FB9B873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75600</w:t>
            </w:r>
          </w:p>
        </w:tc>
        <w:tc>
          <w:tcPr>
            <w:tcW w:w="1701" w:type="dxa"/>
          </w:tcPr>
          <w:p w14:paraId="02E5CE3A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252E42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al75</w:t>
            </w:r>
          </w:p>
        </w:tc>
      </w:tr>
      <w:tr w:rsidR="007E652B" w:rsidRPr="0021779F" w14:paraId="4E33778F" w14:textId="77777777" w:rsidTr="00C91DB1">
        <w:tc>
          <w:tcPr>
            <w:tcW w:w="3119" w:type="dxa"/>
          </w:tcPr>
          <w:p w14:paraId="61A121BA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97D760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2E72EA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FB4A5C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606C9C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652B" w:rsidRPr="0021779F" w14:paraId="50558D33" w14:textId="77777777" w:rsidTr="00C91DB1">
        <w:tc>
          <w:tcPr>
            <w:tcW w:w="3119" w:type="dxa"/>
          </w:tcPr>
          <w:p w14:paraId="277E8F74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b/>
              </w:rPr>
              <w:t>Chromosomal anomalies</w:t>
            </w:r>
          </w:p>
        </w:tc>
        <w:tc>
          <w:tcPr>
            <w:tcW w:w="1276" w:type="dxa"/>
          </w:tcPr>
          <w:p w14:paraId="3D521B33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EA4700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B28BD0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AA88F9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652B" w:rsidRPr="0021779F" w14:paraId="5C97C142" w14:textId="77777777" w:rsidTr="00C91DB1">
        <w:tc>
          <w:tcPr>
            <w:tcW w:w="3119" w:type="dxa"/>
          </w:tcPr>
          <w:p w14:paraId="7D16C812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Down syndrome </w:t>
            </w:r>
          </w:p>
        </w:tc>
        <w:tc>
          <w:tcPr>
            <w:tcW w:w="1276" w:type="dxa"/>
          </w:tcPr>
          <w:p w14:paraId="6E0665FA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Q90 </w:t>
            </w:r>
          </w:p>
        </w:tc>
        <w:tc>
          <w:tcPr>
            <w:tcW w:w="1276" w:type="dxa"/>
          </w:tcPr>
          <w:p w14:paraId="06832960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7580 </w:t>
            </w:r>
          </w:p>
        </w:tc>
        <w:tc>
          <w:tcPr>
            <w:tcW w:w="1701" w:type="dxa"/>
          </w:tcPr>
          <w:p w14:paraId="70D6FD99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With or without al17 and al40</w:t>
            </w:r>
          </w:p>
        </w:tc>
        <w:tc>
          <w:tcPr>
            <w:tcW w:w="1843" w:type="dxa"/>
          </w:tcPr>
          <w:p w14:paraId="02CBB97E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Al89</w:t>
            </w:r>
          </w:p>
        </w:tc>
      </w:tr>
      <w:tr w:rsidR="007E652B" w:rsidRPr="0021779F" w14:paraId="5F61FC3E" w14:textId="77777777" w:rsidTr="00C91DB1">
        <w:tc>
          <w:tcPr>
            <w:tcW w:w="3119" w:type="dxa"/>
          </w:tcPr>
          <w:p w14:paraId="44DDDA71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CC5DAB">
              <w:rPr>
                <w:rFonts w:cstheme="minorHAnsi"/>
                <w:sz w:val="18"/>
                <w:szCs w:val="18"/>
              </w:rPr>
              <w:t>Down syndrome with CHD</w:t>
            </w:r>
          </w:p>
        </w:tc>
        <w:tc>
          <w:tcPr>
            <w:tcW w:w="1276" w:type="dxa"/>
          </w:tcPr>
          <w:p w14:paraId="0E120D40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Q90 </w:t>
            </w:r>
          </w:p>
        </w:tc>
        <w:tc>
          <w:tcPr>
            <w:tcW w:w="1276" w:type="dxa"/>
          </w:tcPr>
          <w:p w14:paraId="65930ED0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7580 </w:t>
            </w:r>
          </w:p>
        </w:tc>
        <w:tc>
          <w:tcPr>
            <w:tcW w:w="1701" w:type="dxa"/>
          </w:tcPr>
          <w:p w14:paraId="55AC351A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7E03BB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3F6D">
              <w:rPr>
                <w:rFonts w:cstheme="minorHAnsi"/>
                <w:sz w:val="18"/>
                <w:szCs w:val="18"/>
              </w:rPr>
              <w:t>al89+al17</w:t>
            </w:r>
          </w:p>
        </w:tc>
      </w:tr>
      <w:tr w:rsidR="007E652B" w:rsidRPr="0021779F" w14:paraId="18F436C0" w14:textId="77777777" w:rsidTr="00C91DB1">
        <w:tc>
          <w:tcPr>
            <w:tcW w:w="3119" w:type="dxa"/>
          </w:tcPr>
          <w:p w14:paraId="4D16B229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D3F6D">
              <w:rPr>
                <w:rFonts w:cstheme="minorHAnsi"/>
                <w:sz w:val="18"/>
                <w:szCs w:val="18"/>
              </w:rPr>
              <w:t>Down syndrome without CHD</w:t>
            </w:r>
          </w:p>
        </w:tc>
        <w:tc>
          <w:tcPr>
            <w:tcW w:w="1276" w:type="dxa"/>
          </w:tcPr>
          <w:p w14:paraId="7ABDAE5A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Q90 </w:t>
            </w:r>
          </w:p>
        </w:tc>
        <w:tc>
          <w:tcPr>
            <w:tcW w:w="1276" w:type="dxa"/>
          </w:tcPr>
          <w:p w14:paraId="59D69C45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7580 </w:t>
            </w:r>
          </w:p>
        </w:tc>
        <w:tc>
          <w:tcPr>
            <w:tcW w:w="1701" w:type="dxa"/>
          </w:tcPr>
          <w:p w14:paraId="1935DA5C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06C65A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3F6D">
              <w:rPr>
                <w:rFonts w:cstheme="minorHAnsi"/>
                <w:sz w:val="18"/>
                <w:szCs w:val="18"/>
              </w:rPr>
              <w:t>al89 excluding al17</w:t>
            </w:r>
          </w:p>
        </w:tc>
      </w:tr>
      <w:tr w:rsidR="007E652B" w:rsidRPr="0021779F" w14:paraId="0FFCA12A" w14:textId="77777777" w:rsidTr="00C91DB1">
        <w:tc>
          <w:tcPr>
            <w:tcW w:w="3119" w:type="dxa"/>
          </w:tcPr>
          <w:p w14:paraId="6BE5253C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Turner syndrome </w:t>
            </w:r>
          </w:p>
        </w:tc>
        <w:tc>
          <w:tcPr>
            <w:tcW w:w="1276" w:type="dxa"/>
          </w:tcPr>
          <w:p w14:paraId="50D2658F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Q96 </w:t>
            </w:r>
          </w:p>
        </w:tc>
        <w:tc>
          <w:tcPr>
            <w:tcW w:w="1276" w:type="dxa"/>
          </w:tcPr>
          <w:p w14:paraId="328EF50B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75860, 75861, </w:t>
            </w:r>
          </w:p>
          <w:p w14:paraId="315B7586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lastRenderedPageBreak/>
              <w:t xml:space="preserve">75862, 75869 </w:t>
            </w:r>
          </w:p>
        </w:tc>
        <w:tc>
          <w:tcPr>
            <w:tcW w:w="1701" w:type="dxa"/>
          </w:tcPr>
          <w:p w14:paraId="1CB856F2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EC3D68" w14:textId="77777777" w:rsidR="007E652B" w:rsidRPr="000A6C9A" w:rsidRDefault="007E652B" w:rsidP="00C91DB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Al92</w:t>
            </w:r>
          </w:p>
        </w:tc>
      </w:tr>
    </w:tbl>
    <w:p w14:paraId="69BF8EB0" w14:textId="77777777" w:rsidR="007E652B" w:rsidRDefault="007E652B" w:rsidP="007E652B">
      <w:pPr>
        <w:spacing w:before="120" w:after="0" w:line="240" w:lineRule="auto"/>
        <w:rPr>
          <w:szCs w:val="20"/>
        </w:rPr>
      </w:pPr>
      <w:r w:rsidRPr="00F365B4">
        <w:rPr>
          <w:b/>
          <w:szCs w:val="20"/>
        </w:rPr>
        <w:t xml:space="preserve">Footnote: </w:t>
      </w:r>
      <w:r w:rsidRPr="00AD0BD6">
        <w:rPr>
          <w:szCs w:val="20"/>
        </w:rPr>
        <w:t xml:space="preserve">*All Anomalies = ALL cases of congenital anomaly, excluding cases with only minor anomalies as defined in Section 3.2 in Guide 1.4 for cases born post-2005. Cases with more than one anomaly are only counted once in the “All Anomalies” subgroup. </w:t>
      </w:r>
    </w:p>
    <w:p w14:paraId="74D1EC3F" w14:textId="77777777" w:rsidR="007E652B" w:rsidRDefault="007E652B" w:rsidP="007E652B">
      <w:pPr>
        <w:spacing w:after="0" w:line="240" w:lineRule="auto"/>
      </w:pPr>
      <w:r w:rsidRPr="00AD0BD6">
        <w:rPr>
          <w:rFonts w:ascii="Calibri" w:hAnsi="Calibri"/>
          <w:szCs w:val="18"/>
        </w:rPr>
        <w:t>†</w:t>
      </w:r>
      <w:r>
        <w:rPr>
          <w:rFonts w:ascii="Calibri" w:hAnsi="Calibri"/>
          <w:szCs w:val="18"/>
        </w:rPr>
        <w:t xml:space="preserve">EUROCAT </w:t>
      </w:r>
      <w:r w:rsidRPr="00AD0BD6">
        <w:rPr>
          <w:rFonts w:ascii="Calibri" w:hAnsi="Calibri"/>
          <w:szCs w:val="18"/>
        </w:rPr>
        <w:t>ICD-9 codes are</w:t>
      </w:r>
      <w:r>
        <w:rPr>
          <w:rFonts w:ascii="Calibri" w:hAnsi="Calibri"/>
          <w:szCs w:val="18"/>
        </w:rPr>
        <w:t xml:space="preserve"> use</w:t>
      </w:r>
      <w:r>
        <w:rPr>
          <w:rFonts w:ascii="Calibri" w:hAnsi="Calibri"/>
          <w:color w:val="000000" w:themeColor="text1"/>
          <w:szCs w:val="18"/>
        </w:rPr>
        <w:t>d with the</w:t>
      </w:r>
      <w:r w:rsidRPr="00AD0BD6">
        <w:rPr>
          <w:color w:val="000000" w:themeColor="text1"/>
        </w:rPr>
        <w:t xml:space="preserve"> British Paediatric Association (BPA) extension code</w:t>
      </w:r>
      <w:r>
        <w:rPr>
          <w:rFonts w:ascii="Calibri" w:hAnsi="Calibri"/>
          <w:color w:val="000000" w:themeColor="text1"/>
          <w:szCs w:val="18"/>
        </w:rPr>
        <w:t xml:space="preserve">: </w:t>
      </w:r>
      <w:hyperlink r:id="rId9" w:history="1">
        <w:r w:rsidRPr="008229E9">
          <w:rPr>
            <w:rStyle w:val="Hyperlink"/>
          </w:rPr>
          <w:t>https://eu-rd-platform.jrc.ec.europa.eu/sites/default/files/EUROCAT-ICD9-with-BPA-Extension.pdf</w:t>
        </w:r>
      </w:hyperlink>
    </w:p>
    <w:p w14:paraId="346125D2" w14:textId="77777777" w:rsidR="007E652B" w:rsidRPr="00AD0BD6" w:rsidRDefault="007E652B" w:rsidP="007E652B">
      <w:pPr>
        <w:spacing w:after="0" w:line="240" w:lineRule="auto"/>
        <w:rPr>
          <w:szCs w:val="20"/>
        </w:rPr>
      </w:pPr>
    </w:p>
    <w:p w14:paraId="08AA3CB1" w14:textId="77777777" w:rsidR="007E652B" w:rsidRPr="009E651A" w:rsidRDefault="007E652B" w:rsidP="00AC4A67">
      <w:pPr>
        <w:rPr>
          <w:color w:val="000000" w:themeColor="text1"/>
          <w:sz w:val="24"/>
          <w:szCs w:val="24"/>
        </w:rPr>
      </w:pPr>
    </w:p>
    <w:sectPr w:rsidR="007E652B" w:rsidRPr="009E651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E1C6" w14:textId="77777777" w:rsidR="00334DFC" w:rsidRDefault="00334DFC" w:rsidP="005A02A6">
      <w:pPr>
        <w:spacing w:after="0" w:line="240" w:lineRule="auto"/>
      </w:pPr>
      <w:r>
        <w:separator/>
      </w:r>
    </w:p>
  </w:endnote>
  <w:endnote w:type="continuationSeparator" w:id="0">
    <w:p w14:paraId="2B4D7CC0" w14:textId="77777777" w:rsidR="00334DFC" w:rsidRDefault="00334DFC" w:rsidP="005A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007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A7DDE" w14:textId="092CFED3" w:rsidR="005A02A6" w:rsidRDefault="005A0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6EB5AAD" w14:textId="77777777" w:rsidR="005A02A6" w:rsidRDefault="005A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C8DD" w14:textId="77777777" w:rsidR="00334DFC" w:rsidRDefault="00334DFC" w:rsidP="005A02A6">
      <w:pPr>
        <w:spacing w:after="0" w:line="240" w:lineRule="auto"/>
      </w:pPr>
      <w:r>
        <w:separator/>
      </w:r>
    </w:p>
  </w:footnote>
  <w:footnote w:type="continuationSeparator" w:id="0">
    <w:p w14:paraId="0953A132" w14:textId="77777777" w:rsidR="00334DFC" w:rsidRDefault="00334DFC" w:rsidP="005A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5A26"/>
    <w:multiLevelType w:val="hybridMultilevel"/>
    <w:tmpl w:val="8D349FF0"/>
    <w:lvl w:ilvl="0" w:tplc="08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C02E4"/>
    <w:multiLevelType w:val="hybridMultilevel"/>
    <w:tmpl w:val="928A59C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F5B1A"/>
    <w:multiLevelType w:val="hybridMultilevel"/>
    <w:tmpl w:val="8E80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1504F"/>
    <w:multiLevelType w:val="hybridMultilevel"/>
    <w:tmpl w:val="7FBE16A6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A586B"/>
    <w:multiLevelType w:val="hybridMultilevel"/>
    <w:tmpl w:val="FA88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 Pediatr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90f0a5e9fvsleaxpdvdte0x0pp0atfxsdw&quot;&gt;WP5 report&lt;record-ids&gt;&lt;item&gt;19&lt;/item&gt;&lt;item&gt;29&lt;/item&gt;&lt;item&gt;30&lt;/item&gt;&lt;item&gt;31&lt;/item&gt;&lt;/record-ids&gt;&lt;/item&gt;&lt;/Libraries&gt;"/>
  </w:docVars>
  <w:rsids>
    <w:rsidRoot w:val="007967B8"/>
    <w:rsid w:val="000036F0"/>
    <w:rsid w:val="00004C44"/>
    <w:rsid w:val="00005C1A"/>
    <w:rsid w:val="00015C08"/>
    <w:rsid w:val="00016280"/>
    <w:rsid w:val="0001706F"/>
    <w:rsid w:val="00026B22"/>
    <w:rsid w:val="0004185F"/>
    <w:rsid w:val="000452D6"/>
    <w:rsid w:val="00050958"/>
    <w:rsid w:val="000563FC"/>
    <w:rsid w:val="000603B2"/>
    <w:rsid w:val="000A59B7"/>
    <w:rsid w:val="000A77B7"/>
    <w:rsid w:val="000C1CAF"/>
    <w:rsid w:val="000C3F7B"/>
    <w:rsid w:val="000D6F80"/>
    <w:rsid w:val="000E6A40"/>
    <w:rsid w:val="00103939"/>
    <w:rsid w:val="00107B70"/>
    <w:rsid w:val="00110C8A"/>
    <w:rsid w:val="00111EB2"/>
    <w:rsid w:val="001230B6"/>
    <w:rsid w:val="001239E7"/>
    <w:rsid w:val="0014251F"/>
    <w:rsid w:val="00154A55"/>
    <w:rsid w:val="001775F5"/>
    <w:rsid w:val="001914F6"/>
    <w:rsid w:val="00193B74"/>
    <w:rsid w:val="00195256"/>
    <w:rsid w:val="00195665"/>
    <w:rsid w:val="001C574D"/>
    <w:rsid w:val="001D3AF9"/>
    <w:rsid w:val="001E5375"/>
    <w:rsid w:val="00203207"/>
    <w:rsid w:val="00203BB1"/>
    <w:rsid w:val="0020610B"/>
    <w:rsid w:val="002332CF"/>
    <w:rsid w:val="00235273"/>
    <w:rsid w:val="002402B8"/>
    <w:rsid w:val="00245756"/>
    <w:rsid w:val="002579DB"/>
    <w:rsid w:val="00266B2D"/>
    <w:rsid w:val="0027281A"/>
    <w:rsid w:val="00295B3D"/>
    <w:rsid w:val="002B0727"/>
    <w:rsid w:val="002B1EAD"/>
    <w:rsid w:val="002B71E4"/>
    <w:rsid w:val="002C6D4A"/>
    <w:rsid w:val="002D2FC4"/>
    <w:rsid w:val="002D68B6"/>
    <w:rsid w:val="002E52D9"/>
    <w:rsid w:val="002F31CF"/>
    <w:rsid w:val="00302727"/>
    <w:rsid w:val="00312627"/>
    <w:rsid w:val="0031288A"/>
    <w:rsid w:val="003178DD"/>
    <w:rsid w:val="00331DD7"/>
    <w:rsid w:val="0033215F"/>
    <w:rsid w:val="0033235A"/>
    <w:rsid w:val="00334DFC"/>
    <w:rsid w:val="003432F3"/>
    <w:rsid w:val="00354C92"/>
    <w:rsid w:val="00364DCA"/>
    <w:rsid w:val="003716B1"/>
    <w:rsid w:val="003A3195"/>
    <w:rsid w:val="003B3A99"/>
    <w:rsid w:val="003B4EE2"/>
    <w:rsid w:val="003B5C91"/>
    <w:rsid w:val="003C0092"/>
    <w:rsid w:val="003D0520"/>
    <w:rsid w:val="003D260C"/>
    <w:rsid w:val="003E135A"/>
    <w:rsid w:val="003E1931"/>
    <w:rsid w:val="003F0D4F"/>
    <w:rsid w:val="003F2216"/>
    <w:rsid w:val="003F4078"/>
    <w:rsid w:val="004556CB"/>
    <w:rsid w:val="00466585"/>
    <w:rsid w:val="00493A88"/>
    <w:rsid w:val="004A051D"/>
    <w:rsid w:val="004C60A1"/>
    <w:rsid w:val="004D615D"/>
    <w:rsid w:val="004F1E1E"/>
    <w:rsid w:val="004F6637"/>
    <w:rsid w:val="00502119"/>
    <w:rsid w:val="005100C8"/>
    <w:rsid w:val="0052369A"/>
    <w:rsid w:val="005311EE"/>
    <w:rsid w:val="00552D0A"/>
    <w:rsid w:val="00554597"/>
    <w:rsid w:val="00563873"/>
    <w:rsid w:val="00566139"/>
    <w:rsid w:val="00584194"/>
    <w:rsid w:val="00592A1F"/>
    <w:rsid w:val="005A02A6"/>
    <w:rsid w:val="005B51C5"/>
    <w:rsid w:val="005C5BD8"/>
    <w:rsid w:val="005D69F0"/>
    <w:rsid w:val="005F2102"/>
    <w:rsid w:val="005F2DAA"/>
    <w:rsid w:val="0061047D"/>
    <w:rsid w:val="00611386"/>
    <w:rsid w:val="00612F2D"/>
    <w:rsid w:val="0062395F"/>
    <w:rsid w:val="0065273F"/>
    <w:rsid w:val="006609F4"/>
    <w:rsid w:val="0066170E"/>
    <w:rsid w:val="00663A9B"/>
    <w:rsid w:val="0067112C"/>
    <w:rsid w:val="00676E72"/>
    <w:rsid w:val="006A1046"/>
    <w:rsid w:val="006B47AA"/>
    <w:rsid w:val="006B4F41"/>
    <w:rsid w:val="006B78FB"/>
    <w:rsid w:val="006C0815"/>
    <w:rsid w:val="006C7BE1"/>
    <w:rsid w:val="006D04B8"/>
    <w:rsid w:val="006D0856"/>
    <w:rsid w:val="006D7102"/>
    <w:rsid w:val="006E3F9C"/>
    <w:rsid w:val="006F5182"/>
    <w:rsid w:val="00704950"/>
    <w:rsid w:val="007244FF"/>
    <w:rsid w:val="00730909"/>
    <w:rsid w:val="00741318"/>
    <w:rsid w:val="007445D0"/>
    <w:rsid w:val="00746B63"/>
    <w:rsid w:val="00746B78"/>
    <w:rsid w:val="0075175F"/>
    <w:rsid w:val="007603B8"/>
    <w:rsid w:val="00760919"/>
    <w:rsid w:val="0076337F"/>
    <w:rsid w:val="00775A17"/>
    <w:rsid w:val="0078349D"/>
    <w:rsid w:val="00783FB7"/>
    <w:rsid w:val="00784C7D"/>
    <w:rsid w:val="007936F5"/>
    <w:rsid w:val="007967B8"/>
    <w:rsid w:val="007A0ADF"/>
    <w:rsid w:val="007B0A0E"/>
    <w:rsid w:val="007B2349"/>
    <w:rsid w:val="007B35F5"/>
    <w:rsid w:val="007B66A5"/>
    <w:rsid w:val="007B72EE"/>
    <w:rsid w:val="007C4149"/>
    <w:rsid w:val="007C52A9"/>
    <w:rsid w:val="007C5557"/>
    <w:rsid w:val="007D34DB"/>
    <w:rsid w:val="007D528A"/>
    <w:rsid w:val="007E4E26"/>
    <w:rsid w:val="007E652B"/>
    <w:rsid w:val="007E6634"/>
    <w:rsid w:val="007F0CB8"/>
    <w:rsid w:val="007F3603"/>
    <w:rsid w:val="00804E59"/>
    <w:rsid w:val="0080613D"/>
    <w:rsid w:val="0080788F"/>
    <w:rsid w:val="00816DDE"/>
    <w:rsid w:val="0082766D"/>
    <w:rsid w:val="00832B29"/>
    <w:rsid w:val="008337D3"/>
    <w:rsid w:val="0083576E"/>
    <w:rsid w:val="00847CBE"/>
    <w:rsid w:val="0085126A"/>
    <w:rsid w:val="008552C8"/>
    <w:rsid w:val="008773C0"/>
    <w:rsid w:val="008800F5"/>
    <w:rsid w:val="00885FF1"/>
    <w:rsid w:val="00895A12"/>
    <w:rsid w:val="00897DC6"/>
    <w:rsid w:val="008B12A2"/>
    <w:rsid w:val="008B4EEC"/>
    <w:rsid w:val="008D3742"/>
    <w:rsid w:val="008F347F"/>
    <w:rsid w:val="008F39D6"/>
    <w:rsid w:val="008F3A12"/>
    <w:rsid w:val="00910BBD"/>
    <w:rsid w:val="00926F7B"/>
    <w:rsid w:val="009337F8"/>
    <w:rsid w:val="00945AA5"/>
    <w:rsid w:val="00946241"/>
    <w:rsid w:val="009502F3"/>
    <w:rsid w:val="00951077"/>
    <w:rsid w:val="00987A30"/>
    <w:rsid w:val="00990056"/>
    <w:rsid w:val="00996435"/>
    <w:rsid w:val="009A08D7"/>
    <w:rsid w:val="009A40BB"/>
    <w:rsid w:val="009A7B91"/>
    <w:rsid w:val="009B12C8"/>
    <w:rsid w:val="009E36E1"/>
    <w:rsid w:val="009E651A"/>
    <w:rsid w:val="009E7259"/>
    <w:rsid w:val="00A008A5"/>
    <w:rsid w:val="00A017E8"/>
    <w:rsid w:val="00A0750F"/>
    <w:rsid w:val="00A14ABC"/>
    <w:rsid w:val="00A15E84"/>
    <w:rsid w:val="00A32C7A"/>
    <w:rsid w:val="00A56097"/>
    <w:rsid w:val="00A61B66"/>
    <w:rsid w:val="00A812D0"/>
    <w:rsid w:val="00A84D96"/>
    <w:rsid w:val="00AA1708"/>
    <w:rsid w:val="00AB2902"/>
    <w:rsid w:val="00AC4A67"/>
    <w:rsid w:val="00AD7A02"/>
    <w:rsid w:val="00AE37D0"/>
    <w:rsid w:val="00AE4A0D"/>
    <w:rsid w:val="00AF0ABF"/>
    <w:rsid w:val="00AF51AC"/>
    <w:rsid w:val="00B01472"/>
    <w:rsid w:val="00B10007"/>
    <w:rsid w:val="00B10AE1"/>
    <w:rsid w:val="00B1298D"/>
    <w:rsid w:val="00B14D6C"/>
    <w:rsid w:val="00B17A83"/>
    <w:rsid w:val="00B20882"/>
    <w:rsid w:val="00B270A1"/>
    <w:rsid w:val="00B52A0C"/>
    <w:rsid w:val="00B545F9"/>
    <w:rsid w:val="00B61DC0"/>
    <w:rsid w:val="00B761EB"/>
    <w:rsid w:val="00B82CDF"/>
    <w:rsid w:val="00B85B92"/>
    <w:rsid w:val="00B87EF1"/>
    <w:rsid w:val="00B9708B"/>
    <w:rsid w:val="00BA60F6"/>
    <w:rsid w:val="00BA6807"/>
    <w:rsid w:val="00BA764F"/>
    <w:rsid w:val="00BC199A"/>
    <w:rsid w:val="00BC3D1E"/>
    <w:rsid w:val="00BE299D"/>
    <w:rsid w:val="00BE29D0"/>
    <w:rsid w:val="00BE766B"/>
    <w:rsid w:val="00BF0FDD"/>
    <w:rsid w:val="00BF1D8C"/>
    <w:rsid w:val="00BF314F"/>
    <w:rsid w:val="00C17205"/>
    <w:rsid w:val="00C2224A"/>
    <w:rsid w:val="00C37033"/>
    <w:rsid w:val="00C76AE7"/>
    <w:rsid w:val="00C76FA6"/>
    <w:rsid w:val="00CA6D95"/>
    <w:rsid w:val="00CE0CD0"/>
    <w:rsid w:val="00CE4273"/>
    <w:rsid w:val="00CF2CF7"/>
    <w:rsid w:val="00CF4B84"/>
    <w:rsid w:val="00D06F5B"/>
    <w:rsid w:val="00D12C73"/>
    <w:rsid w:val="00D14A73"/>
    <w:rsid w:val="00D42775"/>
    <w:rsid w:val="00D46667"/>
    <w:rsid w:val="00D47DEB"/>
    <w:rsid w:val="00D501D1"/>
    <w:rsid w:val="00D527F4"/>
    <w:rsid w:val="00D53A44"/>
    <w:rsid w:val="00D6389C"/>
    <w:rsid w:val="00D648E2"/>
    <w:rsid w:val="00D73469"/>
    <w:rsid w:val="00DC61E8"/>
    <w:rsid w:val="00DD05DC"/>
    <w:rsid w:val="00E04C8A"/>
    <w:rsid w:val="00E10662"/>
    <w:rsid w:val="00E15FDA"/>
    <w:rsid w:val="00E270F6"/>
    <w:rsid w:val="00E30F33"/>
    <w:rsid w:val="00E571B2"/>
    <w:rsid w:val="00E626B9"/>
    <w:rsid w:val="00E657A9"/>
    <w:rsid w:val="00E73641"/>
    <w:rsid w:val="00E85C74"/>
    <w:rsid w:val="00EA1904"/>
    <w:rsid w:val="00EA1A4C"/>
    <w:rsid w:val="00EB00CB"/>
    <w:rsid w:val="00EB73D9"/>
    <w:rsid w:val="00EC6B99"/>
    <w:rsid w:val="00EC7795"/>
    <w:rsid w:val="00ED2FB0"/>
    <w:rsid w:val="00EF60A0"/>
    <w:rsid w:val="00F03444"/>
    <w:rsid w:val="00F1483D"/>
    <w:rsid w:val="00F21A59"/>
    <w:rsid w:val="00F444D4"/>
    <w:rsid w:val="00F521B2"/>
    <w:rsid w:val="00F63AC2"/>
    <w:rsid w:val="00F64C20"/>
    <w:rsid w:val="00F77C32"/>
    <w:rsid w:val="00FA256E"/>
    <w:rsid w:val="00FC0D2E"/>
    <w:rsid w:val="00FD1FE3"/>
    <w:rsid w:val="00FE0AA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2016"/>
  <w15:chartTrackingRefBased/>
  <w15:docId w15:val="{6D6A6193-7BF8-4ADF-8C0D-6D536A19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967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967B8"/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967B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E1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3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2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A6"/>
  </w:style>
  <w:style w:type="paragraph" w:styleId="Footer">
    <w:name w:val="footer"/>
    <w:basedOn w:val="Normal"/>
    <w:link w:val="FooterChar"/>
    <w:uiPriority w:val="99"/>
    <w:unhideWhenUsed/>
    <w:rsid w:val="005A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A6"/>
  </w:style>
  <w:style w:type="paragraph" w:styleId="BalloonText">
    <w:name w:val="Balloon Text"/>
    <w:basedOn w:val="Normal"/>
    <w:link w:val="BalloonTextChar"/>
    <w:uiPriority w:val="99"/>
    <w:semiHidden/>
    <w:unhideWhenUsed/>
    <w:rsid w:val="0031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EE2"/>
    <w:rPr>
      <w:color w:val="0563C1" w:themeColor="hyperlink"/>
      <w:u w:val="single"/>
    </w:rPr>
  </w:style>
  <w:style w:type="character" w:customStyle="1" w:styleId="mark37e3qqabv">
    <w:name w:val="mark37e3qqabv"/>
    <w:basedOn w:val="DefaultParagraphFont"/>
    <w:rsid w:val="00A14ABC"/>
  </w:style>
  <w:style w:type="paragraph" w:customStyle="1" w:styleId="xmsonormal">
    <w:name w:val="x_msonormal"/>
    <w:basedOn w:val="Normal"/>
    <w:rsid w:val="0078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78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1E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54C9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A7B9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C1CA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1CA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C1CA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1CAF"/>
    <w:rPr>
      <w:rFonts w:ascii="Calibri" w:hAnsi="Calibri" w:cs="Calibri"/>
      <w:noProof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3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5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nphs.wales.nhs.uk:8080/hiatdocs.nsf/85c50756737f79ac80256f2700534ea3/17fdbca9920051368025772f003b5a35/$FILE/TownsendBriefi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u-rd-platform.jrc.ec.europa.eu/sites/default/files/EUROCAT-ICD9-with-BPA-Exten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Glinyanaya</dc:creator>
  <cp:keywords/>
  <dc:description/>
  <cp:lastModifiedBy>Svetlana Glinyanaya</cp:lastModifiedBy>
  <cp:revision>2</cp:revision>
  <dcterms:created xsi:type="dcterms:W3CDTF">2021-10-04T14:58:00Z</dcterms:created>
  <dcterms:modified xsi:type="dcterms:W3CDTF">2021-10-04T14:58:00Z</dcterms:modified>
</cp:coreProperties>
</file>